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9663" w14:textId="51C9BC70" w:rsidR="00816C9D" w:rsidRPr="001D00A6" w:rsidRDefault="006E45D9" w:rsidP="00816C9D">
      <w:pPr>
        <w:tabs>
          <w:tab w:val="left" w:pos="1985"/>
          <w:tab w:val="left" w:pos="7920"/>
        </w:tabs>
        <w:spacing w:after="0"/>
        <w:jc w:val="both"/>
        <w:rPr>
          <w:rFonts w:ascii="Arial" w:hAnsi="Arial" w:cs="Arial"/>
          <w:b/>
          <w:sz w:val="24"/>
        </w:rPr>
      </w:pPr>
      <w:bookmarkStart w:id="0" w:name="_Toc508617208"/>
      <w:r w:rsidRPr="001D00A6">
        <w:rPr>
          <w:rFonts w:ascii="Arial" w:hAnsi="Arial" w:cs="Arial"/>
          <w:b/>
          <w:sz w:val="24"/>
        </w:rPr>
        <w:t>3GPP TSG-RAN WG4 Meeting #</w:t>
      </w:r>
      <w:r w:rsidR="008A0C86" w:rsidRPr="001D00A6">
        <w:rPr>
          <w:rFonts w:ascii="Arial" w:hAnsi="Arial" w:cs="Arial"/>
          <w:b/>
          <w:sz w:val="24"/>
        </w:rPr>
        <w:t>90</w:t>
      </w:r>
      <w:r w:rsidR="00AE116C" w:rsidRPr="001D00A6">
        <w:rPr>
          <w:rFonts w:ascii="Arial" w:hAnsi="Arial" w:cs="Arial"/>
          <w:b/>
          <w:sz w:val="24"/>
        </w:rPr>
        <w:tab/>
      </w:r>
      <w:r w:rsidR="00D11648" w:rsidRPr="001D00A6">
        <w:rPr>
          <w:rFonts w:ascii="Arial" w:hAnsi="Arial" w:cs="Arial"/>
          <w:b/>
          <w:sz w:val="24"/>
        </w:rPr>
        <w:t>R4-1900503</w:t>
      </w:r>
      <w:r w:rsidR="00AE116C" w:rsidRPr="001D00A6">
        <w:rPr>
          <w:rFonts w:ascii="Arial" w:hAnsi="Arial" w:cs="Arial"/>
          <w:b/>
          <w:sz w:val="24"/>
        </w:rPr>
        <w:br/>
      </w:r>
      <w:r w:rsidR="008A0C86" w:rsidRPr="001D00A6">
        <w:rPr>
          <w:rFonts w:ascii="Arial" w:hAnsi="Arial" w:cs="Arial"/>
          <w:b/>
          <w:sz w:val="24"/>
        </w:rPr>
        <w:t>Athens</w:t>
      </w:r>
      <w:r w:rsidRPr="001D00A6">
        <w:rPr>
          <w:rFonts w:ascii="Arial" w:hAnsi="Arial" w:cs="Arial"/>
          <w:b/>
          <w:sz w:val="24"/>
        </w:rPr>
        <w:t xml:space="preserve">, </w:t>
      </w:r>
      <w:r w:rsidR="008A0C86" w:rsidRPr="001D00A6">
        <w:rPr>
          <w:rFonts w:ascii="Arial" w:hAnsi="Arial" w:cs="Arial"/>
          <w:b/>
          <w:sz w:val="24"/>
        </w:rPr>
        <w:t>Greece</w:t>
      </w:r>
      <w:r w:rsidRPr="001D00A6">
        <w:rPr>
          <w:rFonts w:ascii="Arial" w:hAnsi="Arial" w:cs="Arial"/>
          <w:b/>
          <w:sz w:val="24"/>
        </w:rPr>
        <w:t xml:space="preserve">, </w:t>
      </w:r>
      <w:r w:rsidR="008A0C86" w:rsidRPr="001D00A6">
        <w:rPr>
          <w:rFonts w:ascii="Arial" w:hAnsi="Arial" w:cs="Arial"/>
          <w:b/>
          <w:sz w:val="24"/>
        </w:rPr>
        <w:t>25 Feb - 1 Mar 2019</w:t>
      </w:r>
    </w:p>
    <w:p w14:paraId="129008DE" w14:textId="77777777" w:rsidR="00816C9D" w:rsidRPr="001D00A6" w:rsidRDefault="00816C9D" w:rsidP="00816C9D">
      <w:pPr>
        <w:rPr>
          <w:rFonts w:ascii="Arial" w:hAnsi="Arial" w:cs="Arial"/>
          <w:b/>
          <w:sz w:val="24"/>
          <w:szCs w:val="24"/>
        </w:rPr>
      </w:pPr>
    </w:p>
    <w:p w14:paraId="3AB0E944" w14:textId="792CC6AB" w:rsidR="00816C9D" w:rsidRPr="001D00A6" w:rsidRDefault="00816C9D" w:rsidP="00816C9D">
      <w:pPr>
        <w:tabs>
          <w:tab w:val="left" w:pos="2160"/>
        </w:tabs>
        <w:rPr>
          <w:rFonts w:ascii="Arial" w:hAnsi="Arial" w:cs="Arial"/>
          <w:b/>
          <w:sz w:val="24"/>
          <w:szCs w:val="24"/>
        </w:rPr>
      </w:pPr>
      <w:r w:rsidRPr="001D00A6">
        <w:rPr>
          <w:rFonts w:ascii="Arial" w:hAnsi="Arial" w:cs="Arial"/>
          <w:b/>
          <w:sz w:val="24"/>
          <w:szCs w:val="24"/>
        </w:rPr>
        <w:t>Agenda item:</w:t>
      </w:r>
      <w:r w:rsidRPr="001D00A6">
        <w:rPr>
          <w:rFonts w:ascii="Arial" w:hAnsi="Arial" w:cs="Arial"/>
          <w:b/>
          <w:sz w:val="24"/>
          <w:szCs w:val="24"/>
        </w:rPr>
        <w:tab/>
      </w:r>
      <w:r w:rsidR="00D11648" w:rsidRPr="001D00A6">
        <w:rPr>
          <w:rFonts w:ascii="Arial" w:hAnsi="Arial" w:cs="Arial"/>
          <w:sz w:val="24"/>
          <w:szCs w:val="24"/>
        </w:rPr>
        <w:t>10.1.1</w:t>
      </w:r>
    </w:p>
    <w:p w14:paraId="2FF1AD85" w14:textId="4370B624" w:rsidR="00816C9D" w:rsidRPr="001D00A6" w:rsidRDefault="00816C9D" w:rsidP="00816C9D">
      <w:pPr>
        <w:tabs>
          <w:tab w:val="left" w:pos="2160"/>
        </w:tabs>
        <w:rPr>
          <w:rFonts w:ascii="Arial" w:hAnsi="Arial" w:cs="Arial"/>
          <w:b/>
          <w:sz w:val="24"/>
          <w:szCs w:val="24"/>
        </w:rPr>
      </w:pPr>
      <w:r w:rsidRPr="001D00A6">
        <w:rPr>
          <w:rFonts w:ascii="Arial" w:hAnsi="Arial" w:cs="Arial"/>
          <w:b/>
          <w:sz w:val="24"/>
          <w:szCs w:val="24"/>
        </w:rPr>
        <w:t>Source:</w:t>
      </w:r>
      <w:r w:rsidRPr="001D00A6">
        <w:rPr>
          <w:rFonts w:ascii="Arial" w:hAnsi="Arial" w:cs="Arial"/>
          <w:b/>
          <w:sz w:val="24"/>
          <w:szCs w:val="24"/>
        </w:rPr>
        <w:tab/>
      </w:r>
      <w:r w:rsidR="00347574" w:rsidRPr="001D00A6">
        <w:rPr>
          <w:rFonts w:ascii="Arial" w:hAnsi="Arial" w:cs="Arial"/>
          <w:sz w:val="24"/>
          <w:szCs w:val="24"/>
        </w:rPr>
        <w:t>Keysight Technologies</w:t>
      </w:r>
      <w:r w:rsidR="007C58AE" w:rsidRPr="001D00A6">
        <w:rPr>
          <w:rFonts w:ascii="Arial" w:hAnsi="Arial" w:cs="Arial"/>
          <w:sz w:val="24"/>
          <w:szCs w:val="24"/>
        </w:rPr>
        <w:t>, Rohde &amp; Schwarz</w:t>
      </w:r>
    </w:p>
    <w:p w14:paraId="659A9CA8" w14:textId="55CDFFD8" w:rsidR="00816C9D" w:rsidRPr="001D00A6" w:rsidRDefault="00816C9D" w:rsidP="00816C9D">
      <w:pPr>
        <w:tabs>
          <w:tab w:val="left" w:pos="2250"/>
        </w:tabs>
        <w:ind w:left="2160" w:hanging="2160"/>
        <w:rPr>
          <w:rFonts w:ascii="Arial" w:hAnsi="Arial" w:cs="Arial"/>
          <w:b/>
          <w:sz w:val="24"/>
          <w:szCs w:val="24"/>
        </w:rPr>
      </w:pPr>
      <w:r w:rsidRPr="001D00A6">
        <w:rPr>
          <w:rFonts w:ascii="Arial" w:hAnsi="Arial" w:cs="Arial"/>
          <w:b/>
          <w:sz w:val="24"/>
          <w:szCs w:val="24"/>
        </w:rPr>
        <w:t>Title:</w:t>
      </w:r>
      <w:r w:rsidRPr="001D00A6">
        <w:rPr>
          <w:rFonts w:ascii="Arial" w:hAnsi="Arial" w:cs="Arial"/>
          <w:b/>
          <w:sz w:val="24"/>
          <w:szCs w:val="24"/>
        </w:rPr>
        <w:tab/>
      </w:r>
      <w:bookmarkStart w:id="1" w:name="_Hlk517280009"/>
      <w:r w:rsidR="00427B2E" w:rsidRPr="001D00A6">
        <w:rPr>
          <w:rFonts w:ascii="Arial" w:hAnsi="Arial" w:cs="Arial"/>
          <w:sz w:val="24"/>
          <w:szCs w:val="24"/>
        </w:rPr>
        <w:t xml:space="preserve">On Simultaneous Transmission/Reception </w:t>
      </w:r>
      <w:r w:rsidR="007C58AE" w:rsidRPr="001D00A6">
        <w:rPr>
          <w:rFonts w:ascii="Arial" w:hAnsi="Arial" w:cs="Arial"/>
          <w:sz w:val="24"/>
          <w:szCs w:val="24"/>
        </w:rPr>
        <w:t xml:space="preserve">of multiple polarizations </w:t>
      </w:r>
      <w:r w:rsidR="00427B2E" w:rsidRPr="001D00A6">
        <w:rPr>
          <w:rFonts w:ascii="Arial" w:hAnsi="Arial" w:cs="Arial"/>
          <w:sz w:val="24"/>
          <w:szCs w:val="24"/>
        </w:rPr>
        <w:t>by TE</w:t>
      </w:r>
      <w:r w:rsidR="00861C5F" w:rsidRPr="001D00A6">
        <w:rPr>
          <w:rFonts w:ascii="Arial" w:hAnsi="Arial" w:cs="Arial"/>
          <w:b/>
          <w:sz w:val="24"/>
          <w:szCs w:val="24"/>
        </w:rPr>
        <w:t xml:space="preserve"> </w:t>
      </w:r>
      <w:bookmarkEnd w:id="1"/>
    </w:p>
    <w:p w14:paraId="7778D4F6" w14:textId="491F33E2" w:rsidR="00816C9D" w:rsidRPr="001D00A6" w:rsidRDefault="00816C9D" w:rsidP="00816C9D">
      <w:pPr>
        <w:tabs>
          <w:tab w:val="left" w:pos="2160"/>
        </w:tabs>
        <w:rPr>
          <w:rFonts w:ascii="Arial" w:hAnsi="Arial" w:cs="Arial"/>
          <w:b/>
          <w:sz w:val="24"/>
          <w:szCs w:val="24"/>
        </w:rPr>
      </w:pPr>
      <w:r w:rsidRPr="001D00A6">
        <w:rPr>
          <w:rFonts w:ascii="Arial" w:hAnsi="Arial" w:cs="Arial"/>
          <w:b/>
          <w:sz w:val="24"/>
          <w:szCs w:val="24"/>
        </w:rPr>
        <w:t>Document for:</w:t>
      </w:r>
      <w:r w:rsidRPr="001D00A6">
        <w:rPr>
          <w:rFonts w:ascii="Arial" w:hAnsi="Arial" w:cs="Arial"/>
          <w:b/>
          <w:sz w:val="24"/>
          <w:szCs w:val="24"/>
        </w:rPr>
        <w:tab/>
      </w:r>
      <w:r w:rsidR="000D7138" w:rsidRPr="001D00A6">
        <w:rPr>
          <w:rFonts w:ascii="Arial" w:hAnsi="Arial" w:cs="Arial"/>
          <w:sz w:val="24"/>
          <w:szCs w:val="24"/>
        </w:rPr>
        <w:t>Approval</w:t>
      </w:r>
    </w:p>
    <w:p w14:paraId="718ECBD6" w14:textId="77777777" w:rsidR="00816C9D" w:rsidRPr="001D00A6" w:rsidRDefault="00816C9D" w:rsidP="001E1CF6">
      <w:pPr>
        <w:pStyle w:val="Heading1"/>
        <w:ind w:left="567" w:hanging="567"/>
      </w:pPr>
      <w:r w:rsidRPr="001D00A6">
        <w:t>Introduction</w:t>
      </w:r>
    </w:p>
    <w:p w14:paraId="0E2ED54B" w14:textId="40C19CCD" w:rsidR="000606FD" w:rsidRPr="001D00A6" w:rsidRDefault="00427B2E" w:rsidP="000606FD">
      <w:pPr>
        <w:ind w:left="48"/>
        <w:rPr>
          <w:rFonts w:eastAsia="Batang"/>
        </w:rPr>
      </w:pPr>
      <w:r w:rsidRPr="001D00A6">
        <w:rPr>
          <w:rFonts w:eastAsia="Batang"/>
        </w:rPr>
        <w:t>The use of simultaneous transmission</w:t>
      </w:r>
      <w:r w:rsidR="000D7138" w:rsidRPr="001D00A6">
        <w:rPr>
          <w:rFonts w:eastAsia="Batang"/>
        </w:rPr>
        <w:t>/reception</w:t>
      </w:r>
      <w:r w:rsidRPr="001D00A6">
        <w:rPr>
          <w:rFonts w:eastAsia="Batang"/>
        </w:rPr>
        <w:t xml:space="preserve"> of (combined) signals has been brought up in online and offline discussions and the concerns from a test equipment/test system perspective have been voiced several times. This contribution addresses </w:t>
      </w:r>
      <w:r w:rsidR="00D01854" w:rsidRPr="001D00A6">
        <w:rPr>
          <w:rFonts w:eastAsia="Batang"/>
        </w:rPr>
        <w:t>some of these</w:t>
      </w:r>
      <w:r w:rsidRPr="001D00A6">
        <w:rPr>
          <w:rFonts w:eastAsia="Batang"/>
        </w:rPr>
        <w:t xml:space="preserve"> concerns.</w:t>
      </w:r>
    </w:p>
    <w:p w14:paraId="35B95E29" w14:textId="101F8699" w:rsidR="0053435C" w:rsidRPr="001D00A6" w:rsidRDefault="00016A8B" w:rsidP="0053435C">
      <w:pPr>
        <w:pStyle w:val="Heading1"/>
        <w:ind w:left="567" w:hanging="567"/>
      </w:pPr>
      <w:r w:rsidRPr="001D00A6">
        <w:t xml:space="preserve">Status Quo: </w:t>
      </w:r>
      <w:r w:rsidR="00427B2E" w:rsidRPr="001D00A6">
        <w:t>Dual Polarization Testing</w:t>
      </w:r>
      <w:r w:rsidRPr="001D00A6">
        <w:t xml:space="preserve"> performed Sequentially</w:t>
      </w:r>
    </w:p>
    <w:p w14:paraId="235E226A" w14:textId="54449E3B" w:rsidR="0053435C" w:rsidRPr="001D00A6" w:rsidRDefault="00427B2E" w:rsidP="0053435C">
      <w:pPr>
        <w:ind w:left="48"/>
        <w:rPr>
          <w:rFonts w:eastAsia="Batang"/>
        </w:rPr>
      </w:pPr>
      <w:r w:rsidRPr="001D00A6">
        <w:rPr>
          <w:rFonts w:eastAsia="Batang"/>
        </w:rPr>
        <w:t xml:space="preserve">EIRP, EIRP Spherical Coverage, TRP, as well as EIS and EIS spherical coverage test procedures </w:t>
      </w:r>
      <w:r w:rsidRPr="001D00A6">
        <w:rPr>
          <w:rFonts w:eastAsia="Batang"/>
          <w:u w:val="single"/>
        </w:rPr>
        <w:t>all</w:t>
      </w:r>
      <w:r w:rsidRPr="001D00A6">
        <w:rPr>
          <w:rFonts w:eastAsia="Batang"/>
        </w:rPr>
        <w:t xml:space="preserve"> assume the combination of two orthogonal polarizations</w:t>
      </w:r>
      <w:r w:rsidR="000C3765" w:rsidRPr="001D00A6">
        <w:rPr>
          <w:rFonts w:eastAsia="Batang"/>
        </w:rPr>
        <w:t xml:space="preserve"> in a sequential fashion</w:t>
      </w:r>
      <w:r w:rsidRPr="001D00A6">
        <w:rPr>
          <w:rFonts w:eastAsia="Batang"/>
        </w:rPr>
        <w:t xml:space="preserve">, e.g., </w:t>
      </w:r>
    </w:p>
    <w:p w14:paraId="0B7C60E3" w14:textId="163A47B9" w:rsidR="004A1B0B" w:rsidRPr="001D00A6" w:rsidRDefault="004A1B0B" w:rsidP="00204F69">
      <w:pPr>
        <w:pStyle w:val="ListParagraph"/>
        <w:numPr>
          <w:ilvl w:val="0"/>
          <w:numId w:val="33"/>
        </w:numPr>
        <w:rPr>
          <w:rFonts w:ascii="Times New Roman" w:eastAsia="Batang" w:hAnsi="Times New Roman"/>
          <w:sz w:val="20"/>
          <w:lang w:val="en-GB"/>
        </w:rPr>
      </w:pPr>
      <w:r w:rsidRPr="001D00A6">
        <w:rPr>
          <w:rFonts w:ascii="Times New Roman" w:eastAsia="Batang" w:hAnsi="Times New Roman"/>
          <w:sz w:val="20"/>
          <w:lang w:val="en-GB"/>
        </w:rPr>
        <w:t xml:space="preserve">Peak EIRP Measurement procedure in Clause 5.2.3.3.2 </w:t>
      </w:r>
      <w:r w:rsidRPr="001D00A6">
        <w:rPr>
          <w:rFonts w:ascii="Times New Roman" w:eastAsia="Batang" w:hAnsi="Times New Roman"/>
          <w:sz w:val="20"/>
          <w:lang w:val="en-GB"/>
        </w:rPr>
        <w:fldChar w:fldCharType="begin"/>
      </w:r>
      <w:r w:rsidRPr="001D00A6">
        <w:rPr>
          <w:rFonts w:ascii="Times New Roman" w:eastAsia="Batang" w:hAnsi="Times New Roman"/>
          <w:sz w:val="20"/>
          <w:lang w:val="en-GB"/>
        </w:rPr>
        <w:instrText xml:space="preserve"> REF _Ref521398402 \w \h </w:instrText>
      </w:r>
      <w:r w:rsidR="001E0888" w:rsidRPr="001D00A6">
        <w:rPr>
          <w:rFonts w:ascii="Times New Roman" w:hAnsi="Times New Roman"/>
          <w:sz w:val="20"/>
          <w:lang w:val="en-GB"/>
        </w:rPr>
        <w:instrText xml:space="preserve"> \* MERGEFORMAT </w:instrText>
      </w:r>
      <w:r w:rsidRPr="001D00A6">
        <w:rPr>
          <w:rFonts w:ascii="Times New Roman" w:eastAsia="Batang" w:hAnsi="Times New Roman"/>
          <w:sz w:val="20"/>
          <w:lang w:val="en-GB"/>
        </w:rPr>
      </w:r>
      <w:r w:rsidRPr="001D00A6">
        <w:rPr>
          <w:rFonts w:ascii="Times New Roman" w:eastAsia="Batang" w:hAnsi="Times New Roman"/>
          <w:sz w:val="20"/>
          <w:lang w:val="en-GB"/>
        </w:rPr>
        <w:fldChar w:fldCharType="separate"/>
      </w:r>
      <w:r w:rsidRPr="001D00A6">
        <w:rPr>
          <w:rFonts w:ascii="Times New Roman" w:eastAsia="Batang" w:hAnsi="Times New Roman"/>
          <w:sz w:val="20"/>
          <w:lang w:val="en-GB"/>
        </w:rPr>
        <w:t>[1]</w:t>
      </w:r>
      <w:r w:rsidRPr="001D00A6">
        <w:rPr>
          <w:rFonts w:ascii="Times New Roman" w:eastAsia="Batang" w:hAnsi="Times New Roman"/>
          <w:sz w:val="20"/>
          <w:lang w:val="en-GB"/>
        </w:rPr>
        <w:fldChar w:fldCharType="end"/>
      </w:r>
    </w:p>
    <w:p w14:paraId="67FFE171" w14:textId="7F82F533" w:rsidR="00427B2E" w:rsidRPr="001D00A6" w:rsidRDefault="00427B2E" w:rsidP="004A1B0B">
      <w:pPr>
        <w:pBdr>
          <w:top w:val="single" w:sz="4" w:space="1" w:color="auto"/>
          <w:left w:val="single" w:sz="4" w:space="4" w:color="auto"/>
          <w:bottom w:val="single" w:sz="4" w:space="1" w:color="auto"/>
          <w:right w:val="single" w:sz="4" w:space="4" w:color="auto"/>
          <w:between w:val="single" w:sz="4" w:space="1" w:color="auto"/>
          <w:bar w:val="single" w:sz="4" w:color="auto"/>
        </w:pBdr>
        <w:ind w:left="48"/>
        <w:rPr>
          <w:rFonts w:eastAsia="Batang"/>
        </w:rPr>
      </w:pPr>
      <w:r w:rsidRPr="001D00A6">
        <w:t>7) Calculate total EIRP (Pol</w:t>
      </w:r>
      <w:r w:rsidRPr="001D00A6">
        <w:rPr>
          <w:vertAlign w:val="subscript"/>
        </w:rPr>
        <w:t>Link</w:t>
      </w:r>
      <w:r w:rsidR="008A6079" w:rsidRPr="001D00A6">
        <w:t>)</w:t>
      </w:r>
      <w:r w:rsidRPr="001D00A6">
        <w:t xml:space="preserve"> = EIRP(Pol</w:t>
      </w:r>
      <w:r w:rsidRPr="001D00A6">
        <w:rPr>
          <w:vertAlign w:val="subscript"/>
        </w:rPr>
        <w:t>Meas</w:t>
      </w:r>
      <w:r w:rsidRPr="001D00A6">
        <w:t>=</w:t>
      </w:r>
      <w:r w:rsidRPr="001D00A6">
        <w:rPr>
          <w:rFonts w:ascii="Symbol" w:hAnsi="Symbol"/>
        </w:rPr>
        <w:t></w:t>
      </w:r>
      <w:r w:rsidRPr="001D00A6">
        <w:rPr>
          <w:rFonts w:ascii="Symbol" w:hAnsi="Symbol"/>
        </w:rPr>
        <w:t></w:t>
      </w:r>
      <w:r w:rsidRPr="001D00A6">
        <w:t xml:space="preserve"> Pol</w:t>
      </w:r>
      <w:r w:rsidRPr="001D00A6">
        <w:rPr>
          <w:vertAlign w:val="subscript"/>
        </w:rPr>
        <w:t>Link</w:t>
      </w:r>
      <w:r w:rsidR="008A6079" w:rsidRPr="001D00A6">
        <w:t>)</w:t>
      </w:r>
      <w:r w:rsidRPr="001D00A6">
        <w:t xml:space="preserve"> + EIRP(Pol</w:t>
      </w:r>
      <w:r w:rsidRPr="001D00A6">
        <w:rPr>
          <w:vertAlign w:val="subscript"/>
        </w:rPr>
        <w:t>Meas</w:t>
      </w:r>
      <w:r w:rsidRPr="001D00A6">
        <w:t>=</w:t>
      </w:r>
      <w:r w:rsidRPr="001D00A6">
        <w:rPr>
          <w:rFonts w:ascii="Symbol" w:hAnsi="Symbol"/>
        </w:rPr>
        <w:t></w:t>
      </w:r>
      <w:r w:rsidRPr="001D00A6">
        <w:rPr>
          <w:rFonts w:ascii="Symbol" w:hAnsi="Symbol"/>
        </w:rPr>
        <w:t></w:t>
      </w:r>
      <w:r w:rsidRPr="001D00A6">
        <w:t xml:space="preserve"> Pol</w:t>
      </w:r>
      <w:r w:rsidRPr="001D00A6">
        <w:rPr>
          <w:vertAlign w:val="subscript"/>
        </w:rPr>
        <w:t>Link</w:t>
      </w:r>
      <w:r w:rsidR="004A1B0B" w:rsidRPr="001D00A6">
        <w:t>)</w:t>
      </w:r>
    </w:p>
    <w:bookmarkEnd w:id="0"/>
    <w:p w14:paraId="27DB0392" w14:textId="2A1280F9" w:rsidR="004A1B0B" w:rsidRPr="001D00A6" w:rsidRDefault="004A1B0B" w:rsidP="00204F69">
      <w:pPr>
        <w:pStyle w:val="ListParagraph"/>
        <w:numPr>
          <w:ilvl w:val="0"/>
          <w:numId w:val="33"/>
        </w:numPr>
        <w:rPr>
          <w:rFonts w:ascii="Times New Roman" w:eastAsia="Batang" w:hAnsi="Times New Roman"/>
          <w:sz w:val="20"/>
          <w:lang w:val="en-GB"/>
        </w:rPr>
      </w:pPr>
      <w:r w:rsidRPr="001D00A6">
        <w:rPr>
          <w:rFonts w:ascii="Times New Roman" w:eastAsia="Batang" w:hAnsi="Times New Roman"/>
          <w:sz w:val="20"/>
          <w:lang w:val="en-GB"/>
        </w:rPr>
        <w:t>TRP equation</w:t>
      </w:r>
      <w:r w:rsidR="008A6079" w:rsidRPr="001D00A6">
        <w:rPr>
          <w:rFonts w:ascii="Times New Roman" w:eastAsia="Batang" w:hAnsi="Times New Roman"/>
          <w:sz w:val="20"/>
          <w:lang w:val="en-GB"/>
        </w:rPr>
        <w:t>s</w:t>
      </w:r>
      <w:r w:rsidRPr="001D00A6">
        <w:rPr>
          <w:rFonts w:ascii="Times New Roman" w:eastAsia="Batang" w:hAnsi="Times New Roman"/>
          <w:sz w:val="20"/>
          <w:lang w:val="en-GB"/>
        </w:rPr>
        <w:t xml:space="preserve">/quadrature equation in Annex G.1.2 </w:t>
      </w:r>
      <w:r w:rsidRPr="001D00A6">
        <w:rPr>
          <w:rFonts w:ascii="Times New Roman" w:eastAsia="Batang" w:hAnsi="Times New Roman"/>
          <w:sz w:val="20"/>
          <w:lang w:val="en-GB"/>
        </w:rPr>
        <w:fldChar w:fldCharType="begin"/>
      </w:r>
      <w:r w:rsidRPr="001D00A6">
        <w:rPr>
          <w:rFonts w:ascii="Times New Roman" w:eastAsia="Batang" w:hAnsi="Times New Roman"/>
          <w:sz w:val="20"/>
          <w:lang w:val="en-GB"/>
        </w:rPr>
        <w:instrText xml:space="preserve"> REF _Ref521398402 \w \h </w:instrText>
      </w:r>
      <w:r w:rsidR="001E0888" w:rsidRPr="001D00A6">
        <w:rPr>
          <w:rFonts w:ascii="Times New Roman" w:eastAsia="Batang" w:hAnsi="Times New Roman"/>
          <w:sz w:val="20"/>
          <w:lang w:val="en-GB"/>
        </w:rPr>
        <w:instrText xml:space="preserve"> \* MERGEFORMAT </w:instrText>
      </w:r>
      <w:r w:rsidRPr="001D00A6">
        <w:rPr>
          <w:rFonts w:ascii="Times New Roman" w:eastAsia="Batang" w:hAnsi="Times New Roman"/>
          <w:sz w:val="20"/>
          <w:lang w:val="en-GB"/>
        </w:rPr>
      </w:r>
      <w:r w:rsidRPr="001D00A6">
        <w:rPr>
          <w:rFonts w:ascii="Times New Roman" w:eastAsia="Batang" w:hAnsi="Times New Roman"/>
          <w:sz w:val="20"/>
          <w:lang w:val="en-GB"/>
        </w:rPr>
        <w:fldChar w:fldCharType="separate"/>
      </w:r>
      <w:r w:rsidRPr="001D00A6">
        <w:rPr>
          <w:rFonts w:ascii="Times New Roman" w:eastAsia="Batang" w:hAnsi="Times New Roman"/>
          <w:sz w:val="20"/>
          <w:lang w:val="en-GB"/>
        </w:rPr>
        <w:t>[1]</w:t>
      </w:r>
      <w:r w:rsidRPr="001D00A6">
        <w:rPr>
          <w:rFonts w:ascii="Times New Roman" w:eastAsia="Batang" w:hAnsi="Times New Roman"/>
          <w:sz w:val="20"/>
          <w:lang w:val="en-GB"/>
        </w:rPr>
        <w:fldChar w:fldCharType="end"/>
      </w:r>
    </w:p>
    <w:p w14:paraId="199709FA" w14:textId="666E21C5" w:rsidR="008A6079" w:rsidRPr="001D00A6" w:rsidRDefault="008A6079" w:rsidP="004A1B0B">
      <w:pPr>
        <w:pBdr>
          <w:top w:val="single" w:sz="4" w:space="1" w:color="auto"/>
          <w:left w:val="single" w:sz="4" w:space="4" w:color="auto"/>
          <w:bottom w:val="single" w:sz="4" w:space="1" w:color="auto"/>
          <w:right w:val="single" w:sz="4" w:space="4" w:color="auto"/>
          <w:between w:val="single" w:sz="4" w:space="1" w:color="auto"/>
          <w:bar w:val="single" w:sz="4" w:color="auto"/>
        </w:pBdr>
      </w:pPr>
      <w:r w:rsidRPr="001D00A6">
        <w:rPr>
          <w:noProof/>
          <w:lang w:eastAsia="de-DE"/>
        </w:rPr>
        <w:drawing>
          <wp:inline distT="0" distB="0" distL="0" distR="0" wp14:anchorId="79271806" wp14:editId="022F2A15">
            <wp:extent cx="4954270" cy="552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l="16731" b="14635"/>
                    <a:stretch>
                      <a:fillRect/>
                    </a:stretch>
                  </pic:blipFill>
                  <pic:spPr bwMode="auto">
                    <a:xfrm>
                      <a:off x="0" y="0"/>
                      <a:ext cx="4954270" cy="552450"/>
                    </a:xfrm>
                    <a:prstGeom prst="rect">
                      <a:avLst/>
                    </a:prstGeom>
                    <a:noFill/>
                    <a:ln>
                      <a:noFill/>
                    </a:ln>
                  </pic:spPr>
                </pic:pic>
              </a:graphicData>
            </a:graphic>
          </wp:inline>
        </w:drawing>
      </w:r>
    </w:p>
    <w:p w14:paraId="113CB8D1" w14:textId="421BB3BB" w:rsidR="004A1B0B" w:rsidRPr="001D00A6" w:rsidRDefault="004A1B0B" w:rsidP="004A1B0B">
      <w:pPr>
        <w:pBdr>
          <w:top w:val="single" w:sz="4" w:space="1" w:color="auto"/>
          <w:left w:val="single" w:sz="4" w:space="4" w:color="auto"/>
          <w:bottom w:val="single" w:sz="4" w:space="1" w:color="auto"/>
          <w:right w:val="single" w:sz="4" w:space="4" w:color="auto"/>
          <w:between w:val="single" w:sz="4" w:space="1" w:color="auto"/>
          <w:bar w:val="single" w:sz="4" w:color="auto"/>
        </w:pBdr>
      </w:pPr>
      <w:r w:rsidRPr="001D00A6">
        <w:rPr>
          <w:noProof/>
          <w:lang w:eastAsia="de-DE"/>
        </w:rPr>
        <w:drawing>
          <wp:inline distT="0" distB="0" distL="0" distR="0" wp14:anchorId="3A007F7B" wp14:editId="2622E9AD">
            <wp:extent cx="3931920" cy="624753"/>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920" cy="624753"/>
                    </a:xfrm>
                    <a:prstGeom prst="rect">
                      <a:avLst/>
                    </a:prstGeom>
                  </pic:spPr>
                </pic:pic>
              </a:graphicData>
            </a:graphic>
          </wp:inline>
        </w:drawing>
      </w:r>
    </w:p>
    <w:p w14:paraId="3BCAD22B" w14:textId="3FC3F677" w:rsidR="008A6079" w:rsidRPr="001D00A6" w:rsidRDefault="008A6079" w:rsidP="004A1B0B">
      <w:pPr>
        <w:pBdr>
          <w:top w:val="single" w:sz="4" w:space="1" w:color="auto"/>
          <w:left w:val="single" w:sz="4" w:space="4" w:color="auto"/>
          <w:bottom w:val="single" w:sz="4" w:space="1" w:color="auto"/>
          <w:right w:val="single" w:sz="4" w:space="4" w:color="auto"/>
          <w:between w:val="single" w:sz="4" w:space="1" w:color="auto"/>
          <w:bar w:val="single" w:sz="4" w:color="auto"/>
        </w:pBdr>
      </w:pPr>
      <w:r w:rsidRPr="001D00A6">
        <w:rPr>
          <w:noProof/>
          <w:lang w:eastAsia="de-DE"/>
        </w:rPr>
        <w:drawing>
          <wp:inline distT="0" distB="0" distL="0" distR="0" wp14:anchorId="6EED8F2A" wp14:editId="5A566740">
            <wp:extent cx="4462780" cy="5251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l="24963" b="16347"/>
                    <a:stretch>
                      <a:fillRect/>
                    </a:stretch>
                  </pic:blipFill>
                  <pic:spPr bwMode="auto">
                    <a:xfrm>
                      <a:off x="0" y="0"/>
                      <a:ext cx="4462780" cy="525145"/>
                    </a:xfrm>
                    <a:prstGeom prst="rect">
                      <a:avLst/>
                    </a:prstGeom>
                    <a:noFill/>
                    <a:ln>
                      <a:noFill/>
                    </a:ln>
                  </pic:spPr>
                </pic:pic>
              </a:graphicData>
            </a:graphic>
          </wp:inline>
        </w:drawing>
      </w:r>
    </w:p>
    <w:p w14:paraId="28427FBF" w14:textId="44808971" w:rsidR="004A1B0B" w:rsidRPr="001D00A6" w:rsidRDefault="004A1B0B" w:rsidP="00204F69">
      <w:pPr>
        <w:pStyle w:val="ListParagraph"/>
        <w:numPr>
          <w:ilvl w:val="0"/>
          <w:numId w:val="33"/>
        </w:numPr>
        <w:rPr>
          <w:rFonts w:ascii="Times New Roman" w:eastAsia="Batang" w:hAnsi="Times New Roman"/>
          <w:sz w:val="20"/>
          <w:lang w:val="en-GB"/>
        </w:rPr>
      </w:pPr>
      <w:r w:rsidRPr="001D00A6">
        <w:rPr>
          <w:rFonts w:ascii="Times New Roman" w:eastAsia="Batang" w:hAnsi="Times New Roman"/>
          <w:sz w:val="20"/>
          <w:lang w:val="en-GB"/>
        </w:rPr>
        <w:t xml:space="preserve">Peak EIS Measurement Procedure in Clause 5.2.3.3.4 </w:t>
      </w:r>
      <w:r w:rsidRPr="001D00A6">
        <w:rPr>
          <w:rFonts w:ascii="Times New Roman" w:eastAsia="Batang" w:hAnsi="Times New Roman"/>
          <w:sz w:val="20"/>
          <w:lang w:val="en-GB"/>
        </w:rPr>
        <w:fldChar w:fldCharType="begin"/>
      </w:r>
      <w:r w:rsidRPr="001D00A6">
        <w:rPr>
          <w:rFonts w:ascii="Times New Roman" w:eastAsia="Batang" w:hAnsi="Times New Roman"/>
          <w:sz w:val="20"/>
          <w:lang w:val="en-GB"/>
        </w:rPr>
        <w:instrText xml:space="preserve"> REF _Ref521398402 \w \h </w:instrText>
      </w:r>
      <w:r w:rsidR="001E0888" w:rsidRPr="001D00A6">
        <w:rPr>
          <w:rFonts w:ascii="Times New Roman" w:eastAsia="Batang" w:hAnsi="Times New Roman"/>
          <w:sz w:val="20"/>
          <w:lang w:val="en-GB"/>
        </w:rPr>
        <w:instrText xml:space="preserve"> \* MERGEFORMAT </w:instrText>
      </w:r>
      <w:r w:rsidRPr="001D00A6">
        <w:rPr>
          <w:rFonts w:ascii="Times New Roman" w:eastAsia="Batang" w:hAnsi="Times New Roman"/>
          <w:sz w:val="20"/>
          <w:lang w:val="en-GB"/>
        </w:rPr>
      </w:r>
      <w:r w:rsidRPr="001D00A6">
        <w:rPr>
          <w:rFonts w:ascii="Times New Roman" w:eastAsia="Batang" w:hAnsi="Times New Roman"/>
          <w:sz w:val="20"/>
          <w:lang w:val="en-GB"/>
        </w:rPr>
        <w:fldChar w:fldCharType="separate"/>
      </w:r>
      <w:r w:rsidRPr="001D00A6">
        <w:rPr>
          <w:rFonts w:ascii="Times New Roman" w:eastAsia="Batang" w:hAnsi="Times New Roman"/>
          <w:sz w:val="20"/>
          <w:lang w:val="en-GB"/>
        </w:rPr>
        <w:t>[1]</w:t>
      </w:r>
      <w:r w:rsidRPr="001D00A6">
        <w:rPr>
          <w:rFonts w:ascii="Times New Roman" w:eastAsia="Batang" w:hAnsi="Times New Roman"/>
          <w:sz w:val="20"/>
          <w:lang w:val="en-GB"/>
        </w:rPr>
        <w:fldChar w:fldCharType="end"/>
      </w:r>
    </w:p>
    <w:p w14:paraId="0DF7F788" w14:textId="54368B31" w:rsidR="004A1B0B" w:rsidRPr="001D00A6" w:rsidRDefault="004A1B0B" w:rsidP="004A1B0B">
      <w:pPr>
        <w:pStyle w:val="List"/>
        <w:pBdr>
          <w:top w:val="single" w:sz="4" w:space="1" w:color="auto"/>
          <w:left w:val="single" w:sz="4" w:space="4" w:color="auto"/>
          <w:bottom w:val="single" w:sz="4" w:space="1" w:color="auto"/>
          <w:right w:val="single" w:sz="4" w:space="4" w:color="auto"/>
          <w:between w:val="single" w:sz="4" w:space="1" w:color="auto"/>
          <w:bar w:val="single" w:sz="4" w:color="auto"/>
        </w:pBdr>
        <w:ind w:left="288" w:hanging="288"/>
      </w:pPr>
      <w:r w:rsidRPr="001D00A6">
        <w:t>6)</w:t>
      </w:r>
      <w:r w:rsidRPr="001D00A6">
        <w:tab/>
        <w:t>Calculate the resulting averaged EIS as</w:t>
      </w:r>
      <w:r w:rsidRPr="001D00A6">
        <w:br/>
      </w:r>
      <w:r w:rsidRPr="001D00A6">
        <w:br/>
      </w:r>
      <w:r w:rsidRPr="001D00A6">
        <w:tab/>
        <w:t>EIS = 2*[1/EIS</w:t>
      </w:r>
      <w:r w:rsidRPr="001D00A6">
        <w:rPr>
          <w:lang w:eastAsia="x-none"/>
        </w:rPr>
        <w:t>(Pol</w:t>
      </w:r>
      <w:r w:rsidRPr="001D00A6">
        <w:rPr>
          <w:vertAlign w:val="subscript"/>
          <w:lang w:eastAsia="x-none"/>
        </w:rPr>
        <w:t>Meas</w:t>
      </w:r>
      <w:r w:rsidRPr="001D00A6">
        <w:rPr>
          <w:lang w:eastAsia="x-none"/>
        </w:rPr>
        <w:t>=</w:t>
      </w:r>
      <w:r w:rsidRPr="001D00A6">
        <w:rPr>
          <w:rFonts w:ascii="Symbol" w:hAnsi="Symbol"/>
          <w:lang w:eastAsia="x-none"/>
        </w:rPr>
        <w:t></w:t>
      </w:r>
      <w:r w:rsidRPr="001D00A6">
        <w:rPr>
          <w:rFonts w:ascii="Symbol" w:hAnsi="Symbol"/>
          <w:lang w:eastAsia="x-none"/>
        </w:rPr>
        <w:t></w:t>
      </w:r>
      <w:r w:rsidRPr="001D00A6">
        <w:rPr>
          <w:lang w:eastAsia="x-none"/>
        </w:rPr>
        <w:t xml:space="preserve"> Pol</w:t>
      </w:r>
      <w:r w:rsidRPr="001D00A6">
        <w:rPr>
          <w:vertAlign w:val="subscript"/>
          <w:lang w:eastAsia="x-none"/>
        </w:rPr>
        <w:t>Link</w:t>
      </w:r>
      <w:r w:rsidRPr="001D00A6">
        <w:rPr>
          <w:lang w:eastAsia="x-none"/>
        </w:rPr>
        <w:t>=</w:t>
      </w:r>
      <w:r w:rsidRPr="001D00A6">
        <w:rPr>
          <w:rFonts w:ascii="Symbol" w:hAnsi="Symbol"/>
          <w:lang w:eastAsia="x-none"/>
        </w:rPr>
        <w:t></w:t>
      </w:r>
      <w:r w:rsidRPr="001D00A6">
        <w:rPr>
          <w:rFonts w:ascii="Symbol" w:hAnsi="Symbol"/>
          <w:lang w:eastAsia="x-none"/>
        </w:rPr>
        <w:t></w:t>
      </w:r>
      <w:r w:rsidRPr="001D00A6">
        <w:t xml:space="preserve"> +1/EIS</w:t>
      </w:r>
      <w:r w:rsidRPr="001D00A6">
        <w:rPr>
          <w:lang w:eastAsia="x-none"/>
        </w:rPr>
        <w:t>(Pol</w:t>
      </w:r>
      <w:r w:rsidRPr="001D00A6">
        <w:rPr>
          <w:vertAlign w:val="subscript"/>
          <w:lang w:eastAsia="x-none"/>
        </w:rPr>
        <w:t>Meas</w:t>
      </w:r>
      <w:r w:rsidRPr="001D00A6">
        <w:rPr>
          <w:lang w:eastAsia="x-none"/>
        </w:rPr>
        <w:t>=</w:t>
      </w:r>
      <w:r w:rsidRPr="001D00A6">
        <w:rPr>
          <w:rFonts w:ascii="Symbol" w:hAnsi="Symbol"/>
          <w:lang w:eastAsia="x-none"/>
        </w:rPr>
        <w:t></w:t>
      </w:r>
      <w:r w:rsidRPr="001D00A6">
        <w:rPr>
          <w:rFonts w:ascii="Symbol" w:hAnsi="Symbol"/>
          <w:lang w:eastAsia="x-none"/>
        </w:rPr>
        <w:t></w:t>
      </w:r>
      <w:r w:rsidRPr="001D00A6">
        <w:rPr>
          <w:lang w:eastAsia="x-none"/>
        </w:rPr>
        <w:t xml:space="preserve"> Pol</w:t>
      </w:r>
      <w:r w:rsidRPr="001D00A6">
        <w:rPr>
          <w:vertAlign w:val="subscript"/>
          <w:lang w:eastAsia="x-none"/>
        </w:rPr>
        <w:t>Link</w:t>
      </w:r>
      <w:r w:rsidRPr="001D00A6">
        <w:rPr>
          <w:lang w:eastAsia="x-none"/>
        </w:rPr>
        <w:t>=</w:t>
      </w:r>
      <w:r w:rsidRPr="001D00A6">
        <w:rPr>
          <w:rFonts w:ascii="Symbol" w:hAnsi="Symbol"/>
          <w:lang w:eastAsia="x-none"/>
        </w:rPr>
        <w:t></w:t>
      </w:r>
      <w:r w:rsidRPr="001D00A6">
        <w:rPr>
          <w:rFonts w:ascii="Symbol" w:hAnsi="Symbol"/>
          <w:lang w:eastAsia="x-none"/>
        </w:rPr>
        <w:t></w:t>
      </w:r>
      <w:r w:rsidRPr="001D00A6">
        <w:t>]</w:t>
      </w:r>
      <w:r w:rsidRPr="001D00A6">
        <w:rPr>
          <w:vertAlign w:val="superscript"/>
        </w:rPr>
        <w:t>-1</w:t>
      </w:r>
    </w:p>
    <w:p w14:paraId="50C0357B" w14:textId="4FC57C22" w:rsidR="004A1B0B" w:rsidRPr="001D00A6" w:rsidRDefault="004A1B0B" w:rsidP="00204F69">
      <w:pPr>
        <w:pStyle w:val="ListParagraph"/>
        <w:numPr>
          <w:ilvl w:val="0"/>
          <w:numId w:val="33"/>
        </w:numPr>
        <w:rPr>
          <w:rFonts w:ascii="Times New Roman" w:eastAsia="Batang" w:hAnsi="Times New Roman"/>
          <w:sz w:val="20"/>
          <w:lang w:val="en-GB"/>
        </w:rPr>
      </w:pPr>
      <w:r w:rsidRPr="001D00A6">
        <w:rPr>
          <w:rFonts w:ascii="Times New Roman" w:eastAsia="Batang" w:hAnsi="Times New Roman"/>
          <w:sz w:val="20"/>
          <w:lang w:val="en-GB"/>
        </w:rPr>
        <w:t xml:space="preserve">TX Beam Peak direction search and EIRP Spherical Coverage in Clause 5.2.1.3.7 </w:t>
      </w:r>
      <w:r w:rsidRPr="001D00A6">
        <w:rPr>
          <w:rFonts w:ascii="Times New Roman" w:eastAsia="Batang" w:hAnsi="Times New Roman"/>
          <w:sz w:val="20"/>
          <w:lang w:val="en-GB"/>
        </w:rPr>
        <w:fldChar w:fldCharType="begin"/>
      </w:r>
      <w:r w:rsidRPr="001D00A6">
        <w:rPr>
          <w:rFonts w:ascii="Times New Roman" w:eastAsia="Batang" w:hAnsi="Times New Roman"/>
          <w:sz w:val="20"/>
          <w:lang w:val="en-GB"/>
        </w:rPr>
        <w:instrText xml:space="preserve"> REF _Ref521398402 \w \h </w:instrText>
      </w:r>
      <w:r w:rsidR="001E0888" w:rsidRPr="001D00A6">
        <w:rPr>
          <w:rFonts w:ascii="Times New Roman" w:eastAsia="Batang" w:hAnsi="Times New Roman"/>
          <w:sz w:val="20"/>
          <w:lang w:val="en-GB"/>
        </w:rPr>
        <w:instrText xml:space="preserve"> \* MERGEFORMAT </w:instrText>
      </w:r>
      <w:r w:rsidRPr="001D00A6">
        <w:rPr>
          <w:rFonts w:ascii="Times New Roman" w:eastAsia="Batang" w:hAnsi="Times New Roman"/>
          <w:sz w:val="20"/>
          <w:lang w:val="en-GB"/>
        </w:rPr>
      </w:r>
      <w:r w:rsidRPr="001D00A6">
        <w:rPr>
          <w:rFonts w:ascii="Times New Roman" w:eastAsia="Batang" w:hAnsi="Times New Roman"/>
          <w:sz w:val="20"/>
          <w:lang w:val="en-GB"/>
        </w:rPr>
        <w:fldChar w:fldCharType="separate"/>
      </w:r>
      <w:r w:rsidRPr="001D00A6">
        <w:rPr>
          <w:rFonts w:ascii="Times New Roman" w:eastAsia="Batang" w:hAnsi="Times New Roman"/>
          <w:sz w:val="20"/>
          <w:lang w:val="en-GB"/>
        </w:rPr>
        <w:t>[1]</w:t>
      </w:r>
      <w:r w:rsidRPr="001D00A6">
        <w:rPr>
          <w:rFonts w:ascii="Times New Roman" w:eastAsia="Batang" w:hAnsi="Times New Roman"/>
          <w:sz w:val="20"/>
          <w:lang w:val="en-GB"/>
        </w:rPr>
        <w:fldChar w:fldCharType="end"/>
      </w:r>
    </w:p>
    <w:p w14:paraId="258DEF2D" w14:textId="77777777" w:rsidR="004A1B0B" w:rsidRPr="001D00A6" w:rsidRDefault="004A1B0B" w:rsidP="004A1B0B">
      <w:pPr>
        <w:pBdr>
          <w:top w:val="single" w:sz="4" w:space="1" w:color="auto"/>
          <w:left w:val="single" w:sz="4" w:space="4" w:color="auto"/>
          <w:bottom w:val="single" w:sz="4" w:space="1" w:color="auto"/>
          <w:right w:val="single" w:sz="4" w:space="4" w:color="auto"/>
          <w:between w:val="single" w:sz="4" w:space="1" w:color="auto"/>
          <w:bar w:val="single" w:sz="4" w:color="auto"/>
        </w:pBdr>
        <w:ind w:left="288" w:hanging="288"/>
        <w:rPr>
          <w:vertAlign w:val="subscript"/>
          <w:lang w:eastAsia="x-none"/>
        </w:rPr>
      </w:pPr>
      <w:r w:rsidRPr="001D00A6">
        <w:rPr>
          <w:lang w:eastAsia="x-none"/>
        </w:rPr>
        <w:t>7)</w:t>
      </w:r>
      <w:r w:rsidRPr="001D00A6">
        <w:rPr>
          <w:lang w:eastAsia="x-none"/>
        </w:rPr>
        <w:tab/>
        <w:t>Calculate total EIRP(Pol</w:t>
      </w:r>
      <w:r w:rsidRPr="001D00A6">
        <w:rPr>
          <w:vertAlign w:val="subscript"/>
          <w:lang w:eastAsia="x-none"/>
        </w:rPr>
        <w:t>Link</w:t>
      </w:r>
      <w:r w:rsidRPr="001D00A6">
        <w:rPr>
          <w:lang w:eastAsia="x-none"/>
        </w:rPr>
        <w:t>=</w:t>
      </w:r>
      <w:r w:rsidRPr="001D00A6">
        <w:rPr>
          <w:rFonts w:ascii="Symbol" w:hAnsi="Symbol"/>
          <w:lang w:eastAsia="x-none"/>
        </w:rPr>
        <w:t></w:t>
      </w:r>
      <w:r w:rsidRPr="001D00A6">
        <w:rPr>
          <w:lang w:eastAsia="x-none"/>
        </w:rPr>
        <w:t>)  = EIRP(Pol</w:t>
      </w:r>
      <w:r w:rsidRPr="001D00A6">
        <w:rPr>
          <w:vertAlign w:val="subscript"/>
          <w:lang w:eastAsia="x-none"/>
        </w:rPr>
        <w:t>Meas</w:t>
      </w:r>
      <w:r w:rsidRPr="001D00A6">
        <w:rPr>
          <w:lang w:eastAsia="x-none"/>
        </w:rPr>
        <w:t>=</w:t>
      </w:r>
      <w:r w:rsidRPr="001D00A6">
        <w:rPr>
          <w:rFonts w:ascii="Symbol" w:hAnsi="Symbol"/>
          <w:lang w:eastAsia="x-none"/>
        </w:rPr>
        <w:t></w:t>
      </w:r>
      <w:r w:rsidRPr="001D00A6">
        <w:rPr>
          <w:rFonts w:ascii="Symbol" w:hAnsi="Symbol"/>
          <w:lang w:eastAsia="x-none"/>
        </w:rPr>
        <w:t></w:t>
      </w:r>
      <w:r w:rsidRPr="001D00A6">
        <w:rPr>
          <w:lang w:eastAsia="x-none"/>
        </w:rPr>
        <w:t xml:space="preserve"> Pol</w:t>
      </w:r>
      <w:r w:rsidRPr="001D00A6">
        <w:rPr>
          <w:vertAlign w:val="subscript"/>
          <w:lang w:eastAsia="x-none"/>
        </w:rPr>
        <w:t>Link</w:t>
      </w:r>
      <w:r w:rsidRPr="001D00A6">
        <w:rPr>
          <w:lang w:eastAsia="x-none"/>
        </w:rPr>
        <w:t>=</w:t>
      </w:r>
      <w:r w:rsidRPr="001D00A6">
        <w:rPr>
          <w:rFonts w:ascii="Symbol" w:hAnsi="Symbol"/>
          <w:lang w:eastAsia="x-none"/>
        </w:rPr>
        <w:t></w:t>
      </w:r>
      <w:r w:rsidRPr="001D00A6">
        <w:rPr>
          <w:lang w:eastAsia="x-none"/>
        </w:rPr>
        <w:t>)  + EIRP(Pol</w:t>
      </w:r>
      <w:r w:rsidRPr="001D00A6">
        <w:rPr>
          <w:vertAlign w:val="subscript"/>
          <w:lang w:eastAsia="x-none"/>
        </w:rPr>
        <w:t>Meas</w:t>
      </w:r>
      <w:r w:rsidRPr="001D00A6">
        <w:rPr>
          <w:lang w:eastAsia="x-none"/>
        </w:rPr>
        <w:t>=</w:t>
      </w:r>
      <w:r w:rsidRPr="001D00A6">
        <w:rPr>
          <w:rFonts w:ascii="Symbol" w:hAnsi="Symbol"/>
          <w:lang w:eastAsia="x-none"/>
        </w:rPr>
        <w:t></w:t>
      </w:r>
      <w:r w:rsidRPr="001D00A6">
        <w:rPr>
          <w:rFonts w:ascii="Symbol" w:hAnsi="Symbol"/>
          <w:lang w:eastAsia="x-none"/>
        </w:rPr>
        <w:t></w:t>
      </w:r>
      <w:r w:rsidRPr="001D00A6">
        <w:rPr>
          <w:lang w:eastAsia="x-none"/>
        </w:rPr>
        <w:t xml:space="preserve"> Pol</w:t>
      </w:r>
      <w:r w:rsidRPr="001D00A6">
        <w:rPr>
          <w:vertAlign w:val="subscript"/>
          <w:lang w:eastAsia="x-none"/>
        </w:rPr>
        <w:t>Link</w:t>
      </w:r>
      <w:r w:rsidRPr="001D00A6">
        <w:rPr>
          <w:lang w:eastAsia="x-none"/>
        </w:rPr>
        <w:t>=</w:t>
      </w:r>
      <w:r w:rsidRPr="001D00A6">
        <w:rPr>
          <w:rFonts w:ascii="Symbol" w:hAnsi="Symbol"/>
          <w:lang w:eastAsia="x-none"/>
        </w:rPr>
        <w:t></w:t>
      </w:r>
      <w:r w:rsidRPr="001D00A6">
        <w:rPr>
          <w:lang w:eastAsia="x-none"/>
        </w:rPr>
        <w:t xml:space="preserve">) </w:t>
      </w:r>
    </w:p>
    <w:p w14:paraId="129A16D6" w14:textId="39D872E5" w:rsidR="004A1B0B" w:rsidRPr="001D00A6" w:rsidRDefault="00204F69" w:rsidP="00204F69">
      <w:pPr>
        <w:ind w:left="284" w:firstLine="284"/>
      </w:pPr>
      <w:r w:rsidRPr="001D00A6">
        <w:lastRenderedPageBreak/>
        <w:t xml:space="preserve">and </w:t>
      </w:r>
    </w:p>
    <w:p w14:paraId="52AF2ECC" w14:textId="605B6625" w:rsidR="004A1B0B" w:rsidRPr="001D00A6" w:rsidRDefault="00204F69" w:rsidP="00204F69">
      <w:pPr>
        <w:pBdr>
          <w:top w:val="single" w:sz="4" w:space="1" w:color="auto"/>
          <w:left w:val="single" w:sz="4" w:space="4" w:color="auto"/>
          <w:bottom w:val="single" w:sz="4" w:space="1" w:color="auto"/>
          <w:right w:val="single" w:sz="4" w:space="4" w:color="auto"/>
          <w:between w:val="single" w:sz="4" w:space="1" w:color="auto"/>
          <w:bar w:val="single" w:sz="4" w:color="auto"/>
        </w:pBdr>
      </w:pPr>
      <w:r w:rsidRPr="001D00A6">
        <w:t>The EIRP</w:t>
      </w:r>
      <w:r w:rsidRPr="001D00A6">
        <w:rPr>
          <w:vertAlign w:val="subscript"/>
        </w:rPr>
        <w:t>target-CDF</w:t>
      </w:r>
      <w:r w:rsidRPr="001D00A6">
        <w:t xml:space="preserve"> is then obtained from the Cumulative Distribution Function (CDF) computed using total EIRP for all grid points.</w:t>
      </w:r>
    </w:p>
    <w:p w14:paraId="2D6A78E7" w14:textId="4CFDC18C" w:rsidR="00204F69" w:rsidRPr="001D00A6" w:rsidRDefault="00204F69" w:rsidP="00204F69">
      <w:pPr>
        <w:pStyle w:val="ListParagraph"/>
        <w:numPr>
          <w:ilvl w:val="0"/>
          <w:numId w:val="33"/>
        </w:numPr>
        <w:rPr>
          <w:rFonts w:ascii="Times New Roman" w:eastAsia="Batang" w:hAnsi="Times New Roman"/>
          <w:sz w:val="20"/>
          <w:lang w:val="en-GB"/>
        </w:rPr>
      </w:pPr>
      <w:r w:rsidRPr="001D00A6">
        <w:rPr>
          <w:rFonts w:ascii="Times New Roman" w:eastAsia="Batang" w:hAnsi="Times New Roman"/>
          <w:sz w:val="20"/>
          <w:lang w:val="en-GB"/>
        </w:rPr>
        <w:t xml:space="preserve">RX Beam Peak direction search and EIS Spherical Coverage in Clause 5.2.1.3.8 </w:t>
      </w:r>
      <w:r w:rsidRPr="001D00A6">
        <w:rPr>
          <w:rFonts w:ascii="Times New Roman" w:eastAsia="Batang" w:hAnsi="Times New Roman"/>
          <w:sz w:val="20"/>
          <w:lang w:val="en-GB"/>
        </w:rPr>
        <w:fldChar w:fldCharType="begin"/>
      </w:r>
      <w:r w:rsidRPr="001D00A6">
        <w:rPr>
          <w:rFonts w:ascii="Times New Roman" w:eastAsia="Batang" w:hAnsi="Times New Roman"/>
          <w:sz w:val="20"/>
          <w:lang w:val="en-GB"/>
        </w:rPr>
        <w:instrText xml:space="preserve"> REF _Ref521398402 \w \h </w:instrText>
      </w:r>
      <w:r w:rsidR="001E0888" w:rsidRPr="001D00A6">
        <w:rPr>
          <w:rFonts w:ascii="Times New Roman" w:eastAsia="Batang" w:hAnsi="Times New Roman"/>
          <w:sz w:val="20"/>
          <w:lang w:val="en-GB"/>
        </w:rPr>
        <w:instrText xml:space="preserve"> \* MERGEFORMAT </w:instrText>
      </w:r>
      <w:r w:rsidRPr="001D00A6">
        <w:rPr>
          <w:rFonts w:ascii="Times New Roman" w:eastAsia="Batang" w:hAnsi="Times New Roman"/>
          <w:sz w:val="20"/>
          <w:lang w:val="en-GB"/>
        </w:rPr>
      </w:r>
      <w:r w:rsidRPr="001D00A6">
        <w:rPr>
          <w:rFonts w:ascii="Times New Roman" w:eastAsia="Batang" w:hAnsi="Times New Roman"/>
          <w:sz w:val="20"/>
          <w:lang w:val="en-GB"/>
        </w:rPr>
        <w:fldChar w:fldCharType="separate"/>
      </w:r>
      <w:r w:rsidRPr="001D00A6">
        <w:rPr>
          <w:rFonts w:ascii="Times New Roman" w:eastAsia="Batang" w:hAnsi="Times New Roman"/>
          <w:sz w:val="20"/>
          <w:lang w:val="en-GB"/>
        </w:rPr>
        <w:t>[1]</w:t>
      </w:r>
      <w:r w:rsidRPr="001D00A6">
        <w:rPr>
          <w:rFonts w:ascii="Times New Roman" w:eastAsia="Batang" w:hAnsi="Times New Roman"/>
          <w:sz w:val="20"/>
          <w:lang w:val="en-GB"/>
        </w:rPr>
        <w:fldChar w:fldCharType="end"/>
      </w:r>
    </w:p>
    <w:p w14:paraId="16D6838C" w14:textId="7A1C392E" w:rsidR="00204F69" w:rsidRPr="001D00A6" w:rsidRDefault="00204F69" w:rsidP="00204F69">
      <w:pPr>
        <w:pBdr>
          <w:top w:val="single" w:sz="4" w:space="1" w:color="auto"/>
          <w:left w:val="single" w:sz="4" w:space="4" w:color="auto"/>
          <w:bottom w:val="single" w:sz="4" w:space="1" w:color="auto"/>
          <w:right w:val="single" w:sz="4" w:space="4" w:color="auto"/>
          <w:between w:val="single" w:sz="4" w:space="1" w:color="auto"/>
          <w:bar w:val="single" w:sz="4" w:color="auto"/>
        </w:pBdr>
        <w:ind w:left="288" w:hanging="288"/>
        <w:rPr>
          <w:vertAlign w:val="superscript"/>
        </w:rPr>
      </w:pPr>
      <w:r w:rsidRPr="001D00A6">
        <w:rPr>
          <w:lang w:eastAsia="x-none"/>
        </w:rPr>
        <w:t>6)</w:t>
      </w:r>
      <w:r w:rsidRPr="001D00A6">
        <w:rPr>
          <w:lang w:eastAsia="x-none"/>
        </w:rPr>
        <w:tab/>
        <w:t>Calculate the resulting averaged EIS as:</w:t>
      </w:r>
      <w:r w:rsidRPr="001D00A6">
        <w:rPr>
          <w:lang w:eastAsia="x-none"/>
        </w:rPr>
        <w:br/>
      </w:r>
      <w:r w:rsidRPr="001D00A6">
        <w:rPr>
          <w:lang w:eastAsia="x-none"/>
        </w:rPr>
        <w:br/>
      </w:r>
      <w:r w:rsidRPr="001D00A6">
        <w:tab/>
        <w:t>EIS = 2*[1/EIS(Pol</w:t>
      </w:r>
      <w:r w:rsidRPr="001D00A6">
        <w:rPr>
          <w:vertAlign w:val="subscript"/>
        </w:rPr>
        <w:t>Meas</w:t>
      </w:r>
      <w:r w:rsidRPr="001D00A6">
        <w:t>=</w:t>
      </w:r>
      <w:r w:rsidRPr="001D00A6">
        <w:rPr>
          <w:rFonts w:ascii="Symbol" w:hAnsi="Symbol"/>
        </w:rPr>
        <w:t></w:t>
      </w:r>
      <w:r w:rsidRPr="001D00A6">
        <w:rPr>
          <w:rFonts w:ascii="Symbol" w:hAnsi="Symbol"/>
        </w:rPr>
        <w:t></w:t>
      </w:r>
      <w:r w:rsidRPr="001D00A6">
        <w:t xml:space="preserve"> Pol</w:t>
      </w:r>
      <w:r w:rsidRPr="001D00A6">
        <w:rPr>
          <w:vertAlign w:val="subscript"/>
        </w:rPr>
        <w:t>Link</w:t>
      </w:r>
      <w:r w:rsidRPr="001D00A6">
        <w:t>=</w:t>
      </w:r>
      <w:r w:rsidRPr="001D00A6">
        <w:rPr>
          <w:rFonts w:ascii="Symbol" w:hAnsi="Symbol"/>
        </w:rPr>
        <w:t></w:t>
      </w:r>
      <w:r w:rsidRPr="001D00A6">
        <w:t>)  +1/EIS(Pol</w:t>
      </w:r>
      <w:r w:rsidRPr="001D00A6">
        <w:rPr>
          <w:vertAlign w:val="subscript"/>
        </w:rPr>
        <w:t>Meas</w:t>
      </w:r>
      <w:r w:rsidRPr="001D00A6">
        <w:t>=</w:t>
      </w:r>
      <w:r w:rsidRPr="001D00A6">
        <w:rPr>
          <w:rFonts w:ascii="Symbol" w:hAnsi="Symbol"/>
        </w:rPr>
        <w:t></w:t>
      </w:r>
      <w:r w:rsidRPr="001D00A6">
        <w:rPr>
          <w:rFonts w:ascii="Symbol" w:hAnsi="Symbol"/>
        </w:rPr>
        <w:t></w:t>
      </w:r>
      <w:r w:rsidRPr="001D00A6">
        <w:t xml:space="preserve"> Pol</w:t>
      </w:r>
      <w:r w:rsidRPr="001D00A6">
        <w:rPr>
          <w:vertAlign w:val="subscript"/>
        </w:rPr>
        <w:t>Link</w:t>
      </w:r>
      <w:r w:rsidRPr="001D00A6">
        <w:t>=</w:t>
      </w:r>
      <w:r w:rsidRPr="001D00A6">
        <w:rPr>
          <w:rFonts w:ascii="Symbol" w:hAnsi="Symbol"/>
        </w:rPr>
        <w:t></w:t>
      </w:r>
      <w:r w:rsidRPr="001D00A6">
        <w:t>)]</w:t>
      </w:r>
      <w:r w:rsidRPr="001D00A6">
        <w:rPr>
          <w:vertAlign w:val="superscript"/>
        </w:rPr>
        <w:t>-1</w:t>
      </w:r>
    </w:p>
    <w:p w14:paraId="4EDE3E34" w14:textId="050E720E" w:rsidR="00204F69" w:rsidRPr="001D00A6" w:rsidRDefault="00204F69" w:rsidP="004A1B0B">
      <w:r w:rsidRPr="001D00A6">
        <w:tab/>
      </w:r>
      <w:r w:rsidRPr="001D00A6">
        <w:tab/>
      </w:r>
      <w:r w:rsidRPr="001D00A6">
        <w:tab/>
      </w:r>
      <w:r w:rsidR="001E0888" w:rsidRPr="001D00A6">
        <w:t>a</w:t>
      </w:r>
      <w:r w:rsidRPr="001D00A6">
        <w:t>nd</w:t>
      </w:r>
    </w:p>
    <w:p w14:paraId="4291FF83" w14:textId="0CE09CD6" w:rsidR="00204F69" w:rsidRPr="001D00A6" w:rsidRDefault="00204F69" w:rsidP="00204F69">
      <w:pPr>
        <w:pBdr>
          <w:top w:val="single" w:sz="4" w:space="1" w:color="auto"/>
          <w:left w:val="single" w:sz="4" w:space="4" w:color="auto"/>
          <w:bottom w:val="single" w:sz="4" w:space="1" w:color="auto"/>
          <w:right w:val="single" w:sz="4" w:space="4" w:color="auto"/>
          <w:between w:val="single" w:sz="4" w:space="1" w:color="auto"/>
          <w:bar w:val="single" w:sz="4" w:color="auto"/>
        </w:pBdr>
      </w:pPr>
      <w:r w:rsidRPr="001D00A6">
        <w:t>The EIS</w:t>
      </w:r>
      <w:r w:rsidRPr="001D00A6">
        <w:rPr>
          <w:vertAlign w:val="subscript"/>
        </w:rPr>
        <w:t>target-CDF</w:t>
      </w:r>
      <w:r w:rsidRPr="001D00A6">
        <w:t xml:space="preserve"> is then obtained from the Cumulative Distribution Function (CDF) computed using total EIS for all grid points.</w:t>
      </w:r>
    </w:p>
    <w:p w14:paraId="6B210801" w14:textId="1173D44C" w:rsidR="00016A8B" w:rsidRPr="001D00A6" w:rsidRDefault="00016A8B" w:rsidP="00016A8B">
      <w:pPr>
        <w:pStyle w:val="Heading1"/>
        <w:ind w:left="567" w:hanging="567"/>
      </w:pPr>
      <w:r w:rsidRPr="001D00A6">
        <w:t xml:space="preserve">Introduction of </w:t>
      </w:r>
      <w:r w:rsidR="00D01854" w:rsidRPr="001D00A6">
        <w:t>Simultaneous Transmission/Reception</w:t>
      </w:r>
    </w:p>
    <w:p w14:paraId="6698F5C6" w14:textId="6F22A5F5" w:rsidR="00204F69" w:rsidRPr="001D00A6" w:rsidRDefault="00016A8B" w:rsidP="004A1B0B">
      <w:r w:rsidRPr="001D00A6">
        <w:t>In the SR of the NR testability SI</w:t>
      </w:r>
      <w:r w:rsidR="00603585" w:rsidRPr="001D00A6">
        <w:t xml:space="preserve"> </w:t>
      </w:r>
      <w:r w:rsidR="00603585" w:rsidRPr="001D00A6">
        <w:fldChar w:fldCharType="begin"/>
      </w:r>
      <w:r w:rsidR="00603585" w:rsidRPr="001D00A6">
        <w:instrText xml:space="preserve"> REF _Ref809319 \w \h </w:instrText>
      </w:r>
      <w:r w:rsidR="00603585" w:rsidRPr="001D00A6">
        <w:fldChar w:fldCharType="separate"/>
      </w:r>
      <w:r w:rsidR="00603585" w:rsidRPr="001D00A6">
        <w:t>[2]</w:t>
      </w:r>
      <w:r w:rsidR="00603585" w:rsidRPr="001D00A6">
        <w:fldChar w:fldCharType="end"/>
      </w:r>
      <w:r w:rsidRPr="001D00A6">
        <w:t>, the following main session agreement was listed</w:t>
      </w:r>
    </w:p>
    <w:p w14:paraId="0AA31241" w14:textId="549C33EF" w:rsidR="00016A8B" w:rsidRPr="001D00A6" w:rsidRDefault="00016A8B" w:rsidP="005B6179">
      <w:pPr>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ind w:left="432" w:hanging="288"/>
        <w:jc w:val="both"/>
        <w:textAlignment w:val="baseline"/>
        <w:rPr>
          <w:lang w:eastAsia="ja-JP" w:bidi="hi-IN"/>
        </w:rPr>
      </w:pPr>
      <w:r w:rsidRPr="001D00A6">
        <w:rPr>
          <w:lang w:eastAsia="ja-JP" w:bidi="hi-IN"/>
        </w:rPr>
        <w:t>For the test procedure for Tx peak beam search and EIRP spherical coverage, during the test at the each points in the measurement grid it is not precluded that DUT can transmit the power through two polarizations simultaneously</w:t>
      </w:r>
      <w:r w:rsidRPr="001D00A6">
        <w:rPr>
          <w:lang w:eastAsia="ja-JP" w:bidi="hi-IN"/>
        </w:rPr>
        <w:br/>
      </w:r>
      <w:r w:rsidRPr="001D00A6">
        <w:rPr>
          <w:highlight w:val="yellow"/>
          <w:lang w:eastAsia="ja-JP" w:bidi="hi-IN"/>
        </w:rPr>
        <w:t>We need to consider to enable two polarizations transmissions from TE</w:t>
      </w:r>
      <w:r w:rsidRPr="001D00A6">
        <w:rPr>
          <w:lang w:eastAsia="ja-JP" w:bidi="hi-IN"/>
        </w:rPr>
        <w:t xml:space="preserve">. If it is not feasible, we need to consider whether polarization gain shall be considered as part of core requirements. </w:t>
      </w:r>
    </w:p>
    <w:p w14:paraId="0F80ECC0" w14:textId="305F432F" w:rsidR="00016A8B" w:rsidRPr="001D00A6" w:rsidRDefault="00603585" w:rsidP="004A1B0B">
      <w:r w:rsidRPr="001D00A6">
        <w:t>together with a remaining open issue for UE RF</w:t>
      </w:r>
    </w:p>
    <w:p w14:paraId="45DCE61B" w14:textId="05778D2D" w:rsidR="00603585" w:rsidRPr="001D00A6" w:rsidRDefault="00603585" w:rsidP="00603585">
      <w:r w:rsidRPr="001D00A6">
        <w:rPr>
          <w:noProof/>
          <w:lang w:eastAsia="de-DE"/>
        </w:rPr>
        <mc:AlternateContent>
          <mc:Choice Requires="wps">
            <w:drawing>
              <wp:inline distT="0" distB="0" distL="0" distR="0" wp14:anchorId="56721B38" wp14:editId="6A1A0A3F">
                <wp:extent cx="6232814" cy="1404620"/>
                <wp:effectExtent l="0" t="0" r="1587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814" cy="1404620"/>
                        </a:xfrm>
                        <a:prstGeom prst="rect">
                          <a:avLst/>
                        </a:prstGeom>
                        <a:solidFill>
                          <a:srgbClr val="FFFFFF"/>
                        </a:solidFill>
                        <a:ln w="3175">
                          <a:solidFill>
                            <a:srgbClr val="000000"/>
                          </a:solidFill>
                          <a:miter lim="800000"/>
                          <a:headEnd/>
                          <a:tailEnd/>
                        </a:ln>
                      </wps:spPr>
                      <wps:txbx>
                        <w:txbxContent>
                          <w:p w14:paraId="34D75B1C" w14:textId="7327B879" w:rsidR="00603585" w:rsidRPr="007916D9" w:rsidRDefault="00603585" w:rsidP="00603585">
                            <w:pPr>
                              <w:numPr>
                                <w:ilvl w:val="0"/>
                                <w:numId w:val="35"/>
                              </w:numPr>
                              <w:overflowPunct w:val="0"/>
                              <w:autoSpaceDE w:val="0"/>
                              <w:autoSpaceDN w:val="0"/>
                              <w:spacing w:after="120"/>
                              <w:rPr>
                                <w:sz w:val="22"/>
                                <w:szCs w:val="22"/>
                                <w:lang w:eastAsia="zh-CN"/>
                              </w:rPr>
                            </w:pPr>
                            <w:r>
                              <w:t>RF test methods</w:t>
                            </w:r>
                          </w:p>
                          <w:p w14:paraId="7BD6DC3C" w14:textId="27F4BCA4" w:rsidR="00603585" w:rsidRDefault="00603585" w:rsidP="00442B45">
                            <w:pPr>
                              <w:numPr>
                                <w:ilvl w:val="1"/>
                                <w:numId w:val="35"/>
                              </w:numPr>
                              <w:overflowPunct w:val="0"/>
                              <w:autoSpaceDE w:val="0"/>
                              <w:autoSpaceDN w:val="0"/>
                              <w:spacing w:after="120"/>
                            </w:pPr>
                            <w:r w:rsidRPr="00D01854">
                              <w:rPr>
                                <w:highlight w:val="yellow"/>
                              </w:rPr>
                              <w:t>FFS whether</w:t>
                            </w:r>
                            <w:r>
                              <w:t xml:space="preserve"> to m</w:t>
                            </w:r>
                            <w:r w:rsidRPr="00FF1537">
                              <w:t>odif</w:t>
                            </w:r>
                            <w:r>
                              <w:t xml:space="preserve">y </w:t>
                            </w:r>
                            <w:r w:rsidRPr="00FF1537">
                              <w:t xml:space="preserve">the Tx peak beam search and EIRP spherical coverage measurement test procedure </w:t>
                            </w:r>
                            <w:r w:rsidRPr="00D01854">
                              <w:rPr>
                                <w:highlight w:val="yellow"/>
                              </w:rPr>
                              <w:t>to enable two polarizations transmissions from TE</w:t>
                            </w:r>
                            <w:r>
                              <w:t>.</w:t>
                            </w:r>
                          </w:p>
                        </w:txbxContent>
                      </wps:txbx>
                      <wps:bodyPr rot="0" vert="horz" wrap="square" lIns="91440" tIns="45720" rIns="91440" bIns="45720" anchor="t" anchorCtr="0">
                        <a:spAutoFit/>
                      </wps:bodyPr>
                    </wps:wsp>
                  </a:graphicData>
                </a:graphic>
              </wp:inline>
            </w:drawing>
          </mc:Choice>
          <mc:Fallback>
            <w:pict>
              <v:shapetype w14:anchorId="56721B38" id="_x0000_t202" coordsize="21600,21600" o:spt="202" path="m,l,21600r21600,l21600,xe">
                <v:stroke joinstyle="miter"/>
                <v:path gradientshapeok="t" o:connecttype="rect"/>
              </v:shapetype>
              <v:shape id="Text Box 2" o:spid="_x0000_s1026" type="#_x0000_t202" style="width:49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" strokeweight=".25pt">
                <v:textbox style="mso-fit-shape-to-text:t">
                  <w:txbxContent>
                    <w:p w14:paraId="34D75B1C" w14:textId="7327B879" w:rsidR="00603585" w:rsidRPr="007916D9" w:rsidRDefault="00603585" w:rsidP="00603585">
                      <w:pPr>
                        <w:numPr>
                          <w:ilvl w:val="0"/>
                          <w:numId w:val="35"/>
                        </w:numPr>
                        <w:overflowPunct w:val="0"/>
                        <w:autoSpaceDE w:val="0"/>
                        <w:autoSpaceDN w:val="0"/>
                        <w:spacing w:after="120"/>
                        <w:rPr>
                          <w:sz w:val="22"/>
                          <w:szCs w:val="22"/>
                          <w:lang w:eastAsia="zh-CN"/>
                        </w:rPr>
                      </w:pPr>
                      <w:r>
                        <w:t>RF test methods</w:t>
                      </w:r>
                    </w:p>
                    <w:p w14:paraId="7BD6DC3C" w14:textId="27F4BCA4" w:rsidR="00603585" w:rsidRDefault="00603585" w:rsidP="00442B45">
                      <w:pPr>
                        <w:numPr>
                          <w:ilvl w:val="1"/>
                          <w:numId w:val="35"/>
                        </w:numPr>
                        <w:overflowPunct w:val="0"/>
                        <w:autoSpaceDE w:val="0"/>
                        <w:autoSpaceDN w:val="0"/>
                        <w:spacing w:after="120"/>
                      </w:pPr>
                      <w:r w:rsidRPr="00D01854">
                        <w:rPr>
                          <w:highlight w:val="yellow"/>
                        </w:rPr>
                        <w:t>FFS whether</w:t>
                      </w:r>
                      <w:r>
                        <w:t xml:space="preserve"> to m</w:t>
                      </w:r>
                      <w:r w:rsidRPr="00FF1537">
                        <w:t>odif</w:t>
                      </w:r>
                      <w:r>
                        <w:t xml:space="preserve">y </w:t>
                      </w:r>
                      <w:r w:rsidRPr="00FF1537">
                        <w:t xml:space="preserve">the Tx peak beam search and EIRP spherical coverage measurement test procedure </w:t>
                      </w:r>
                      <w:r w:rsidRPr="00D01854">
                        <w:rPr>
                          <w:highlight w:val="yellow"/>
                        </w:rPr>
                        <w:t>to enable two polarizations transmissions from TE</w:t>
                      </w:r>
                      <w:r>
                        <w:t>.</w:t>
                      </w:r>
                    </w:p>
                  </w:txbxContent>
                </v:textbox>
                <w10:anchorlock/>
              </v:shape>
            </w:pict>
          </mc:Fallback>
        </mc:AlternateContent>
      </w:r>
    </w:p>
    <w:p w14:paraId="05E284A4" w14:textId="3CBBB14A" w:rsidR="00C91548" w:rsidRPr="001D00A6" w:rsidRDefault="00C91548" w:rsidP="00E95392">
      <w:r w:rsidRPr="001D00A6">
        <w:t xml:space="preserve">The </w:t>
      </w:r>
      <w:r w:rsidR="00A1477F" w:rsidRPr="001D00A6">
        <w:t>idea</w:t>
      </w:r>
      <w:r w:rsidRPr="001D00A6">
        <w:t xml:space="preserve"> to transmit on two polarizations simultaneously </w:t>
      </w:r>
      <w:r w:rsidR="00557C77" w:rsidRPr="001D00A6">
        <w:t xml:space="preserve">from the measurement antenna </w:t>
      </w:r>
      <w:r w:rsidRPr="001D00A6">
        <w:t xml:space="preserve">is to </w:t>
      </w:r>
      <w:r w:rsidR="00EE1013" w:rsidRPr="001D00A6">
        <w:t xml:space="preserve">guarantee that the </w:t>
      </w:r>
      <w:r w:rsidRPr="001D00A6">
        <w:t>UE</w:t>
      </w:r>
      <w:r w:rsidR="00EE1013" w:rsidRPr="001D00A6">
        <w:t xml:space="preserve"> transmits on both polarizations simultaneously and benefit from the polarization diversity.</w:t>
      </w:r>
    </w:p>
    <w:p w14:paraId="7DEF3795" w14:textId="271D4BC7" w:rsidR="00E95392" w:rsidRPr="001D00A6" w:rsidRDefault="00EC496A" w:rsidP="00E95392">
      <w:r w:rsidRPr="001D00A6">
        <w:t>For two polarizations to be combined simultaneously in a controlled fashion, the RF front ends of the call box have to be synchronized</w:t>
      </w:r>
      <w:r w:rsidR="001D00A6">
        <w:t xml:space="preserve"> and </w:t>
      </w:r>
      <w:r w:rsidRPr="001D00A6">
        <w:t xml:space="preserve">phase stable with fixed phase differences. </w:t>
      </w:r>
      <w:r w:rsidR="00E95392" w:rsidRPr="001D00A6">
        <w:t xml:space="preserve">However, the need for fixed phase differences between call box input/output ports has </w:t>
      </w:r>
      <w:r w:rsidR="00AC402F" w:rsidRPr="001D00A6">
        <w:t>not</w:t>
      </w:r>
      <w:r w:rsidR="00E95392" w:rsidRPr="001D00A6">
        <w:t xml:space="preserve"> been made a requirement in 3GPP for UE RF testing and therefore has not </w:t>
      </w:r>
      <w:r w:rsidR="00AC402F" w:rsidRPr="001D00A6">
        <w:t xml:space="preserve">yet </w:t>
      </w:r>
      <w:r w:rsidR="00E95392" w:rsidRPr="001D00A6">
        <w:t xml:space="preserve">been taken into account for 5G call box architectures. </w:t>
      </w:r>
    </w:p>
    <w:p w14:paraId="00912CA0" w14:textId="1FF18DD8" w:rsidR="00E95392" w:rsidRPr="001D00A6" w:rsidRDefault="00E95392" w:rsidP="00E95392">
      <w:pPr>
        <w:pStyle w:val="Caption"/>
      </w:pPr>
      <w:bookmarkStart w:id="2" w:name="_Ref814299"/>
      <w:r w:rsidRPr="001D00A6">
        <w:t xml:space="preserve">Observation </w:t>
      </w:r>
      <w:r w:rsidRPr="001D00A6">
        <w:fldChar w:fldCharType="begin"/>
      </w:r>
      <w:r w:rsidRPr="001D00A6">
        <w:instrText xml:space="preserve"> SEQ Observation \* ARABIC </w:instrText>
      </w:r>
      <w:r w:rsidRPr="001D00A6">
        <w:fldChar w:fldCharType="separate"/>
      </w:r>
      <w:r w:rsidR="00557C77" w:rsidRPr="001D00A6">
        <w:rPr>
          <w:noProof/>
        </w:rPr>
        <w:t>1</w:t>
      </w:r>
      <w:r w:rsidRPr="001D00A6">
        <w:fldChar w:fldCharType="end"/>
      </w:r>
      <w:r w:rsidRPr="001D00A6">
        <w:t xml:space="preserve">: The need for fixed phase differences between call box input/output ports has </w:t>
      </w:r>
      <w:r w:rsidR="001D00A6">
        <w:t>not</w:t>
      </w:r>
      <w:r w:rsidRPr="001D00A6">
        <w:t xml:space="preserve"> been made a requirement in 3GPP for UE RF testing and therefore has not </w:t>
      </w:r>
      <w:r w:rsidR="001D00A6">
        <w:t xml:space="preserve">yet </w:t>
      </w:r>
      <w:r w:rsidRPr="001D00A6">
        <w:t>been taken into account for 5G call box architecture</w:t>
      </w:r>
      <w:r w:rsidR="00B22C52" w:rsidRPr="001D00A6">
        <w:t>s.</w:t>
      </w:r>
      <w:bookmarkEnd w:id="2"/>
      <w:r w:rsidR="00B22C52" w:rsidRPr="001D00A6">
        <w:t xml:space="preserve"> </w:t>
      </w:r>
    </w:p>
    <w:p w14:paraId="3CA154D0" w14:textId="34A42776" w:rsidR="003E5665" w:rsidRPr="001D00A6" w:rsidRDefault="00EC496A" w:rsidP="004A1B0B">
      <w:r w:rsidRPr="001D00A6">
        <w:t>For LTE MIMO OTA</w:t>
      </w:r>
      <w:r w:rsidR="003E5665" w:rsidRPr="001D00A6">
        <w:t xml:space="preserve"> testing</w:t>
      </w:r>
      <w:r w:rsidRPr="001D00A6">
        <w:t>,</w:t>
      </w:r>
      <w:r w:rsidR="000906E1" w:rsidRPr="001D00A6">
        <w:t xml:space="preserve"> i.e., demodulation testing including fading,</w:t>
      </w:r>
      <w:r w:rsidRPr="001D00A6">
        <w:t xml:space="preserve"> </w:t>
      </w:r>
      <w:r w:rsidR="003E5665" w:rsidRPr="001D00A6">
        <w:t xml:space="preserve">the stability </w:t>
      </w:r>
      <w:r w:rsidR="000906E1" w:rsidRPr="001D00A6">
        <w:t xml:space="preserve">and phase relationship between callbox ports has been clarified for instance in </w:t>
      </w:r>
      <w:r w:rsidR="000906E1" w:rsidRPr="001D00A6">
        <w:fldChar w:fldCharType="begin"/>
      </w:r>
      <w:r w:rsidR="000906E1" w:rsidRPr="001D00A6">
        <w:instrText xml:space="preserve"> REF _Ref811300 \w \h </w:instrText>
      </w:r>
      <w:r w:rsidR="000906E1" w:rsidRPr="001D00A6">
        <w:fldChar w:fldCharType="separate"/>
      </w:r>
      <w:r w:rsidR="000906E1" w:rsidRPr="001D00A6">
        <w:t>[3]</w:t>
      </w:r>
      <w:r w:rsidR="000906E1" w:rsidRPr="001D00A6">
        <w:fldChar w:fldCharType="end"/>
      </w:r>
    </w:p>
    <w:p w14:paraId="3A895069" w14:textId="77777777" w:rsidR="003E5665" w:rsidRPr="001D00A6" w:rsidRDefault="003E5665" w:rsidP="000906E1">
      <w:pPr>
        <w:pStyle w:val="Default"/>
        <w:pBdr>
          <w:top w:val="single" w:sz="4" w:space="1" w:color="auto"/>
          <w:left w:val="single" w:sz="4" w:space="4" w:color="auto"/>
          <w:bottom w:val="single" w:sz="4" w:space="1" w:color="auto"/>
          <w:right w:val="single" w:sz="4" w:space="4" w:color="auto"/>
        </w:pBdr>
        <w:rPr>
          <w:sz w:val="20"/>
          <w:szCs w:val="20"/>
          <w:lang w:val="en-GB"/>
        </w:rPr>
      </w:pPr>
      <w:r w:rsidRPr="001D00A6">
        <w:rPr>
          <w:b/>
          <w:bCs/>
          <w:sz w:val="20"/>
          <w:szCs w:val="20"/>
          <w:lang w:val="en-GB"/>
        </w:rPr>
        <w:t xml:space="preserve">2.2.2.3 Channel Emulator Input Phase Calibration </w:t>
      </w:r>
    </w:p>
    <w:p w14:paraId="61F1FAD6" w14:textId="3719F729" w:rsidR="003E5665" w:rsidRPr="001D00A6" w:rsidRDefault="003E5665" w:rsidP="000906E1">
      <w:pPr>
        <w:pBdr>
          <w:top w:val="single" w:sz="4" w:space="1" w:color="auto"/>
          <w:left w:val="single" w:sz="4" w:space="4" w:color="auto"/>
          <w:bottom w:val="single" w:sz="4" w:space="1" w:color="auto"/>
          <w:right w:val="single" w:sz="4" w:space="4" w:color="auto"/>
        </w:pBdr>
      </w:pPr>
      <w:r w:rsidRPr="001D00A6">
        <w:t xml:space="preserve">The use of highly correlated channel models such as the SCME UMa model introduces a unique set of problems. One is the </w:t>
      </w:r>
      <w:r w:rsidRPr="001D00A6">
        <w:rPr>
          <w:highlight w:val="yellow"/>
        </w:rPr>
        <w:t>phase relationship between the LTE streams from the base station</w:t>
      </w:r>
      <w:r w:rsidRPr="001D00A6">
        <w:t>. While the average power doesn’t vary as a function of the input phase in the test volume of the MPAC, the LTE MIMO receiver is capable of detecting a difference that can result in a shift of the EUT measured performances. The effect is a variation of the throughput up and down when a constant average power is at the EUT. The maximum throughput performances are seen when the base station LTE signals are in-phase or 180 degrees out-of-phase with minimums at ±90 degrees. Thus</w:t>
      </w:r>
      <w:r w:rsidRPr="001D00A6">
        <w:rPr>
          <w:highlight w:val="yellow"/>
        </w:rPr>
        <w:t>, it is necessary to ensure that the relative phase between the two communication tester outputs as applied to the digital channel model inputs is zero. However, since the phase relationship of the communication tester signal generators and the channel emulator receivers cannot be guaranteed, it is not possible to simply correct for the phase differences of the input cables</w:t>
      </w:r>
      <w:r w:rsidRPr="001D00A6">
        <w:t xml:space="preserve">. </w:t>
      </w:r>
      <w:r w:rsidRPr="001D00A6">
        <w:rPr>
          <w:highlight w:val="yellow"/>
        </w:rPr>
        <w:t>Instead, the system shall be calibrated and corrected for the input phase offsets just prior to the start of the test</w:t>
      </w:r>
      <w:r w:rsidRPr="001D00A6">
        <w:t xml:space="preserve">, since any changes in frequency or other related settings may change the phase relationship of the outputs and inputs. For communication testers that are unable to maintain a constant phase relationship between the outputs when signaling is </w:t>
      </w:r>
      <w:r w:rsidRPr="001D00A6">
        <w:lastRenderedPageBreak/>
        <w:t>disabled, care shall be taken to ensure that the communication tester downlink signal remains enabled throughout the entire test.</w:t>
      </w:r>
    </w:p>
    <w:p w14:paraId="7A2BBC0E" w14:textId="27C55594" w:rsidR="003E5665" w:rsidRPr="001D00A6" w:rsidRDefault="000906E1" w:rsidP="003E5665">
      <w:r w:rsidRPr="001D00A6">
        <w:t xml:space="preserve">In </w:t>
      </w:r>
      <w:r w:rsidRPr="001D00A6">
        <w:fldChar w:fldCharType="begin"/>
      </w:r>
      <w:r w:rsidRPr="001D00A6">
        <w:instrText xml:space="preserve"> REF _Ref811300 \w \h </w:instrText>
      </w:r>
      <w:r w:rsidRPr="001D00A6">
        <w:fldChar w:fldCharType="separate"/>
      </w:r>
      <w:r w:rsidRPr="001D00A6">
        <w:t>[3]</w:t>
      </w:r>
      <w:r w:rsidRPr="001D00A6">
        <w:fldChar w:fldCharType="end"/>
      </w:r>
      <w:r w:rsidRPr="001D00A6">
        <w:t xml:space="preserve">, suitable calibration techniques are discussed to perform the phase calibrations in a manual or automated fashion using external equipment such as channel emulators. </w:t>
      </w:r>
    </w:p>
    <w:p w14:paraId="09DD9A73" w14:textId="5870C4B6" w:rsidR="00E95392" w:rsidRPr="001D00A6" w:rsidRDefault="00E95392" w:rsidP="00E95392">
      <w:r w:rsidRPr="001D00A6">
        <w:t xml:space="preserve">Assuming the phase differences between the RF ports of the call box and the centre of the quiet zone are known and also phase stable over time, those phase differences could be compensated inside the call box. Since the conducted paths include active components such as amplifiers and miscellaneous other switch box components, very accurate phase stability of the conducted paths might be challenging. </w:t>
      </w:r>
    </w:p>
    <w:p w14:paraId="793771ED" w14:textId="2E196D67" w:rsidR="00E95392" w:rsidRPr="001D00A6" w:rsidRDefault="00E95392" w:rsidP="00E95392">
      <w:r w:rsidRPr="001D00A6">
        <w:t>In summary, it can be observed that performing phase calibrations before and/or during each UE RF test is impractical.</w:t>
      </w:r>
    </w:p>
    <w:p w14:paraId="1556B3EF" w14:textId="57EE1C8F" w:rsidR="000D7138" w:rsidRPr="001D00A6" w:rsidRDefault="000D7138" w:rsidP="000D7138">
      <w:pPr>
        <w:pStyle w:val="Caption"/>
      </w:pPr>
      <w:bookmarkStart w:id="3" w:name="_Ref812319"/>
      <w:r w:rsidRPr="00063975">
        <w:t xml:space="preserve">Observation </w:t>
      </w:r>
      <w:r w:rsidRPr="00063975">
        <w:fldChar w:fldCharType="begin"/>
      </w:r>
      <w:r w:rsidRPr="00063975">
        <w:instrText xml:space="preserve"> SEQ Observation \* ARABIC </w:instrText>
      </w:r>
      <w:r w:rsidRPr="00063975">
        <w:fldChar w:fldCharType="separate"/>
      </w:r>
      <w:r w:rsidR="00557C77" w:rsidRPr="00063975">
        <w:rPr>
          <w:noProof/>
        </w:rPr>
        <w:t>2</w:t>
      </w:r>
      <w:r w:rsidRPr="00063975">
        <w:fldChar w:fldCharType="end"/>
      </w:r>
      <w:r w:rsidRPr="00063975">
        <w:t>: Performing phase calibrations before and/or during each UE RF test is impractica</w:t>
      </w:r>
      <w:r w:rsidR="00B22C52" w:rsidRPr="00063975">
        <w:t>l.</w:t>
      </w:r>
      <w:bookmarkEnd w:id="3"/>
    </w:p>
    <w:p w14:paraId="2FD4B426" w14:textId="7D1D19F1" w:rsidR="000D7138" w:rsidRPr="001D00A6" w:rsidRDefault="000906E1" w:rsidP="004A1B0B">
      <w:r w:rsidRPr="001D00A6">
        <w:t xml:space="preserve">In lieu of a phase calibration, combining two signals with arbitrary phase differences between them will yield an unpredictable polarization state of the </w:t>
      </w:r>
      <w:r w:rsidR="000D7138" w:rsidRPr="001D00A6">
        <w:t>resulting</w:t>
      </w:r>
      <w:r w:rsidRPr="001D00A6">
        <w:t xml:space="preserve"> signal as the signal </w:t>
      </w:r>
      <w:r w:rsidR="000D7138" w:rsidRPr="001D00A6">
        <w:t xml:space="preserve">is </w:t>
      </w:r>
      <w:r w:rsidR="00EC496A" w:rsidRPr="001D00A6">
        <w:t>either linearly, right handed circularly, left-handed circularly or even elliptically polarized. The measured results could therefore be vastly different depending on the (uncertain) polarization state introduced by the test system.</w:t>
      </w:r>
    </w:p>
    <w:p w14:paraId="789948F4" w14:textId="104E1A69" w:rsidR="000D7138" w:rsidRDefault="000D7138" w:rsidP="000D7138">
      <w:pPr>
        <w:pStyle w:val="Caption"/>
      </w:pPr>
      <w:bookmarkStart w:id="4" w:name="_Ref812324"/>
      <w:r w:rsidRPr="001D00A6">
        <w:t xml:space="preserve">Observation </w:t>
      </w:r>
      <w:r w:rsidRPr="001D00A6">
        <w:fldChar w:fldCharType="begin"/>
      </w:r>
      <w:r w:rsidRPr="001D00A6">
        <w:instrText xml:space="preserve"> SEQ Observation \* ARABIC </w:instrText>
      </w:r>
      <w:r w:rsidRPr="001D00A6">
        <w:fldChar w:fldCharType="separate"/>
      </w:r>
      <w:r w:rsidR="00557C77" w:rsidRPr="001D00A6">
        <w:rPr>
          <w:noProof/>
        </w:rPr>
        <w:t>3</w:t>
      </w:r>
      <w:r w:rsidRPr="001D00A6">
        <w:fldChar w:fldCharType="end"/>
      </w:r>
      <w:r w:rsidRPr="001D00A6">
        <w:t xml:space="preserve">: Combining two signals with arbitrary phase differences between them results in an either linearly, right handed circularly, left-handed circularly or even elliptically polarized signal which </w:t>
      </w:r>
      <w:r w:rsidR="00E95392" w:rsidRPr="001D00A6">
        <w:t>could</w:t>
      </w:r>
      <w:r w:rsidRPr="001D00A6">
        <w:t xml:space="preserve"> yield significant differences in the measurement results.</w:t>
      </w:r>
      <w:bookmarkEnd w:id="4"/>
      <w:r w:rsidRPr="001D00A6">
        <w:t xml:space="preserve"> </w:t>
      </w:r>
    </w:p>
    <w:p w14:paraId="0AB67415" w14:textId="77777777" w:rsidR="00063975" w:rsidRPr="001D00A6" w:rsidRDefault="00063975" w:rsidP="00063975">
      <w:r w:rsidRPr="001D00A6">
        <w:t>Assuming the TE could control the phase differences accurately and two signals were simultaneously transmitted on two orthogonal polarizations of the measurement antenna, the resulting signal would be linearly polarized and tilted by 45</w:t>
      </w:r>
      <w:r w:rsidRPr="001D00A6">
        <w:rPr>
          <w:vertAlign w:val="superscript"/>
        </w:rPr>
        <w:t>o</w:t>
      </w:r>
      <w:r w:rsidRPr="001D00A6">
        <w:t xml:space="preserve"> with respect to the respective polarization planes. This resulting polarization could then be matched with one polarization plane of the UE antenna and therefore not force the UE to transmit on both polarizations. </w:t>
      </w:r>
    </w:p>
    <w:p w14:paraId="12DE8DE1" w14:textId="2535A64A" w:rsidR="00557C77" w:rsidRPr="001D00A6" w:rsidRDefault="00557C77" w:rsidP="00206C1F">
      <w:pPr>
        <w:pStyle w:val="Caption"/>
      </w:pPr>
      <w:bookmarkStart w:id="5" w:name="_Ref812331"/>
      <w:bookmarkStart w:id="6" w:name="_Ref1033723"/>
      <w:r w:rsidRPr="001D00A6">
        <w:t xml:space="preserve">Observation </w:t>
      </w:r>
      <w:r w:rsidRPr="001D00A6">
        <w:fldChar w:fldCharType="begin"/>
      </w:r>
      <w:r w:rsidRPr="001D00A6">
        <w:instrText xml:space="preserve"> SEQ Observation \* ARABIC </w:instrText>
      </w:r>
      <w:r w:rsidRPr="001D00A6">
        <w:fldChar w:fldCharType="separate"/>
      </w:r>
      <w:r w:rsidRPr="001D00A6">
        <w:rPr>
          <w:noProof/>
        </w:rPr>
        <w:t>4</w:t>
      </w:r>
      <w:r w:rsidRPr="001D00A6">
        <w:fldChar w:fldCharType="end"/>
      </w:r>
      <w:r w:rsidRPr="001D00A6">
        <w:rPr>
          <w:noProof/>
        </w:rPr>
        <w:t xml:space="preserve">: </w:t>
      </w:r>
      <w:r w:rsidR="00A1477F" w:rsidRPr="001D00A6">
        <w:rPr>
          <w:noProof/>
        </w:rPr>
        <w:t xml:space="preserve">Transmitting signals simultaneously from the measurement antenna will not </w:t>
      </w:r>
      <w:r w:rsidR="00640AAA" w:rsidRPr="001D00A6">
        <w:rPr>
          <w:noProof/>
        </w:rPr>
        <w:t xml:space="preserve">necessarily </w:t>
      </w:r>
      <w:r w:rsidR="00A1477F" w:rsidRPr="001D00A6">
        <w:rPr>
          <w:noProof/>
        </w:rPr>
        <w:t>guarantee the UE to always transmit on both polarizations simultaneously</w:t>
      </w:r>
      <w:bookmarkEnd w:id="6"/>
      <w:r w:rsidRPr="001D00A6">
        <w:t xml:space="preserve"> </w:t>
      </w:r>
    </w:p>
    <w:p w14:paraId="3F447530" w14:textId="77777777" w:rsidR="00A1477F" w:rsidRPr="001D00A6" w:rsidRDefault="00A1477F" w:rsidP="00A1477F">
      <w:pPr>
        <w:pStyle w:val="Caption"/>
        <w:rPr>
          <w:rFonts w:eastAsia="Batang"/>
        </w:rPr>
      </w:pPr>
      <w:bookmarkStart w:id="7" w:name="_Ref1127058"/>
      <w:r w:rsidRPr="001D00A6">
        <w:t xml:space="preserve">Proposal </w:t>
      </w:r>
      <w:r w:rsidRPr="001D00A6">
        <w:fldChar w:fldCharType="begin"/>
      </w:r>
      <w:r w:rsidRPr="001D00A6">
        <w:instrText xml:space="preserve"> SEQ Proposal \* ARABIC </w:instrText>
      </w:r>
      <w:r w:rsidRPr="001D00A6">
        <w:fldChar w:fldCharType="separate"/>
      </w:r>
      <w:r w:rsidRPr="001D00A6">
        <w:rPr>
          <w:noProof/>
        </w:rPr>
        <w:t>1</w:t>
      </w:r>
      <w:r w:rsidRPr="001D00A6">
        <w:fldChar w:fldCharType="end"/>
      </w:r>
      <w:r w:rsidRPr="001D00A6">
        <w:t xml:space="preserve">: Avoid the </w:t>
      </w:r>
      <w:r w:rsidRPr="001D00A6">
        <w:rPr>
          <w:rFonts w:eastAsia="Batang"/>
        </w:rPr>
        <w:t>simultaneous transmission/reception of (combined) signals on multiple polarizations.</w:t>
      </w:r>
      <w:bookmarkEnd w:id="7"/>
    </w:p>
    <w:bookmarkEnd w:id="5"/>
    <w:p w14:paraId="6D5AF5FA" w14:textId="1F1C9DB6" w:rsidR="008B0529" w:rsidRPr="001D00A6" w:rsidRDefault="0053435C" w:rsidP="0053435C">
      <w:pPr>
        <w:pStyle w:val="Heading1"/>
        <w:ind w:left="567" w:hanging="567"/>
      </w:pPr>
      <w:r w:rsidRPr="001D00A6">
        <w:t>Conclusion</w:t>
      </w:r>
    </w:p>
    <w:p w14:paraId="559B5DDF" w14:textId="4F794EBB" w:rsidR="008B0529" w:rsidRPr="001D00A6" w:rsidRDefault="0053435C" w:rsidP="008B0529">
      <w:r w:rsidRPr="001D00A6">
        <w:t>The following observations and proposals were made in this contribution</w:t>
      </w:r>
    </w:p>
    <w:p w14:paraId="48E74DF2" w14:textId="0ABB5F3F" w:rsidR="00B22C52" w:rsidRPr="00063975" w:rsidRDefault="00B22C52" w:rsidP="008B0529">
      <w:pPr>
        <w:rPr>
          <w:b/>
        </w:rPr>
      </w:pPr>
      <w:r w:rsidRPr="00063975">
        <w:rPr>
          <w:b/>
        </w:rPr>
        <w:fldChar w:fldCharType="begin"/>
      </w:r>
      <w:r w:rsidRPr="00063975">
        <w:rPr>
          <w:b/>
        </w:rPr>
        <w:instrText xml:space="preserve"> REF _Ref814299 \h  \* MERGEFORMAT </w:instrText>
      </w:r>
      <w:r w:rsidRPr="00063975">
        <w:rPr>
          <w:b/>
        </w:rPr>
      </w:r>
      <w:r w:rsidRPr="00063975">
        <w:rPr>
          <w:b/>
        </w:rPr>
        <w:fldChar w:fldCharType="separate"/>
      </w:r>
      <w:r w:rsidR="00063975" w:rsidRPr="00063975">
        <w:rPr>
          <w:b/>
        </w:rPr>
        <w:t xml:space="preserve">Observation </w:t>
      </w:r>
      <w:r w:rsidR="00063975" w:rsidRPr="00063975">
        <w:rPr>
          <w:b/>
          <w:noProof/>
        </w:rPr>
        <w:t>1</w:t>
      </w:r>
      <w:r w:rsidR="00063975" w:rsidRPr="00063975">
        <w:rPr>
          <w:b/>
        </w:rPr>
        <w:t>: The need for fixed phase differences between call box input/output ports has not been made a requirement in 3GPP for UE RF testing and therefore has not yet been taken into account for 5G call box architectures.</w:t>
      </w:r>
      <w:r w:rsidRPr="00063975">
        <w:rPr>
          <w:b/>
        </w:rPr>
        <w:fldChar w:fldCharType="end"/>
      </w:r>
    </w:p>
    <w:p w14:paraId="7BCE4BCC" w14:textId="4112E0B9" w:rsidR="000D7138" w:rsidRPr="00063975" w:rsidRDefault="000D7138" w:rsidP="008B0529">
      <w:pPr>
        <w:rPr>
          <w:b/>
        </w:rPr>
      </w:pPr>
      <w:r w:rsidRPr="00063975">
        <w:rPr>
          <w:b/>
        </w:rPr>
        <w:fldChar w:fldCharType="begin"/>
      </w:r>
      <w:r w:rsidRPr="00063975">
        <w:rPr>
          <w:b/>
        </w:rPr>
        <w:instrText xml:space="preserve"> REF _Ref812319 \h  \* MERGEFORMAT </w:instrText>
      </w:r>
      <w:r w:rsidRPr="00063975">
        <w:rPr>
          <w:b/>
        </w:rPr>
      </w:r>
      <w:r w:rsidRPr="00063975">
        <w:rPr>
          <w:b/>
        </w:rPr>
        <w:fldChar w:fldCharType="separate"/>
      </w:r>
      <w:r w:rsidR="00063975" w:rsidRPr="00063975">
        <w:rPr>
          <w:b/>
        </w:rPr>
        <w:t xml:space="preserve">Observation </w:t>
      </w:r>
      <w:r w:rsidR="00063975" w:rsidRPr="00063975">
        <w:rPr>
          <w:b/>
          <w:noProof/>
        </w:rPr>
        <w:t>2</w:t>
      </w:r>
      <w:r w:rsidR="00063975" w:rsidRPr="00063975">
        <w:rPr>
          <w:b/>
        </w:rPr>
        <w:t>: Performing phase calibrations before and/or during each UE RF test is impractical.</w:t>
      </w:r>
      <w:r w:rsidRPr="00063975">
        <w:rPr>
          <w:b/>
        </w:rPr>
        <w:fldChar w:fldCharType="end"/>
      </w:r>
    </w:p>
    <w:p w14:paraId="6F20B678" w14:textId="169F15CA" w:rsidR="000D7138" w:rsidRPr="00063975" w:rsidRDefault="00063975" w:rsidP="008B0529">
      <w:pPr>
        <w:rPr>
          <w:b/>
        </w:rPr>
      </w:pPr>
      <w:r w:rsidRPr="00063975">
        <w:rPr>
          <w:b/>
        </w:rPr>
        <w:fldChar w:fldCharType="begin"/>
      </w:r>
      <w:r w:rsidRPr="00063975">
        <w:rPr>
          <w:b/>
        </w:rPr>
        <w:instrText xml:space="preserve"> REF _Ref812324 \h </w:instrText>
      </w:r>
      <w:r w:rsidRPr="00063975">
        <w:rPr>
          <w:b/>
        </w:rPr>
      </w:r>
      <w:r w:rsidRPr="00063975">
        <w:rPr>
          <w:b/>
        </w:rPr>
        <w:instrText xml:space="preserve"> \* MERGEFORMAT </w:instrText>
      </w:r>
      <w:r w:rsidRPr="00063975">
        <w:rPr>
          <w:b/>
        </w:rPr>
        <w:fldChar w:fldCharType="separate"/>
      </w:r>
      <w:r w:rsidRPr="00063975">
        <w:rPr>
          <w:b/>
        </w:rPr>
        <w:t xml:space="preserve">Observation </w:t>
      </w:r>
      <w:r w:rsidRPr="00063975">
        <w:rPr>
          <w:b/>
          <w:noProof/>
        </w:rPr>
        <w:t>3</w:t>
      </w:r>
      <w:r w:rsidRPr="00063975">
        <w:rPr>
          <w:b/>
        </w:rPr>
        <w:t>: Combining two signals with arbitrary phase differences between them results in an either linearly, right handed circularly, left-handed circularly or even elliptically polarized signal which could yield significant differences in the measurement results.</w:t>
      </w:r>
      <w:r w:rsidRPr="00063975">
        <w:rPr>
          <w:b/>
        </w:rPr>
        <w:fldChar w:fldCharType="end"/>
      </w:r>
    </w:p>
    <w:p w14:paraId="187D27AB" w14:textId="7013A612" w:rsidR="00063975" w:rsidRPr="00063975" w:rsidRDefault="00063975" w:rsidP="008B0529">
      <w:pPr>
        <w:rPr>
          <w:b/>
        </w:rPr>
      </w:pPr>
      <w:r w:rsidRPr="00063975">
        <w:rPr>
          <w:b/>
        </w:rPr>
        <w:fldChar w:fldCharType="begin"/>
      </w:r>
      <w:r w:rsidRPr="00063975">
        <w:rPr>
          <w:b/>
        </w:rPr>
        <w:instrText xml:space="preserve"> REF _Ref1033723 \h </w:instrText>
      </w:r>
      <w:r w:rsidRPr="00063975">
        <w:rPr>
          <w:b/>
        </w:rPr>
      </w:r>
      <w:r w:rsidRPr="00063975">
        <w:rPr>
          <w:b/>
        </w:rPr>
        <w:instrText xml:space="preserve"> \* MERGEFORMAT </w:instrText>
      </w:r>
      <w:r w:rsidRPr="00063975">
        <w:rPr>
          <w:b/>
        </w:rPr>
        <w:fldChar w:fldCharType="separate"/>
      </w:r>
      <w:r w:rsidRPr="00063975">
        <w:rPr>
          <w:b/>
        </w:rPr>
        <w:t xml:space="preserve">Observation </w:t>
      </w:r>
      <w:r w:rsidRPr="00063975">
        <w:rPr>
          <w:b/>
          <w:noProof/>
        </w:rPr>
        <w:t>4: Transmitting signals simultaneously from the measurement antenna will not necessarily guarantee the UE to always transmit on both polarizations simultaneously</w:t>
      </w:r>
      <w:r w:rsidRPr="00063975">
        <w:rPr>
          <w:b/>
        </w:rPr>
        <w:fldChar w:fldCharType="end"/>
      </w:r>
    </w:p>
    <w:p w14:paraId="571D1E96" w14:textId="3CD70084" w:rsidR="00063975" w:rsidRPr="00063975" w:rsidRDefault="00063975" w:rsidP="008B0529">
      <w:pPr>
        <w:rPr>
          <w:b/>
        </w:rPr>
      </w:pPr>
      <w:r w:rsidRPr="00063975">
        <w:rPr>
          <w:b/>
        </w:rPr>
        <w:fldChar w:fldCharType="begin"/>
      </w:r>
      <w:r w:rsidRPr="00063975">
        <w:rPr>
          <w:b/>
        </w:rPr>
        <w:instrText xml:space="preserve"> REF _Ref1127058 \h </w:instrText>
      </w:r>
      <w:r w:rsidRPr="00063975">
        <w:rPr>
          <w:b/>
        </w:rPr>
      </w:r>
      <w:r w:rsidRPr="00063975">
        <w:rPr>
          <w:b/>
        </w:rPr>
        <w:instrText xml:space="preserve"> \* MERGEFORMAT </w:instrText>
      </w:r>
      <w:r w:rsidRPr="00063975">
        <w:rPr>
          <w:b/>
        </w:rPr>
        <w:fldChar w:fldCharType="separate"/>
      </w:r>
      <w:r w:rsidRPr="00063975">
        <w:rPr>
          <w:b/>
        </w:rPr>
        <w:t xml:space="preserve">Proposal </w:t>
      </w:r>
      <w:r w:rsidRPr="00063975">
        <w:rPr>
          <w:b/>
          <w:noProof/>
        </w:rPr>
        <w:t>1</w:t>
      </w:r>
      <w:r w:rsidRPr="00063975">
        <w:rPr>
          <w:b/>
        </w:rPr>
        <w:t>: Avoid th</w:t>
      </w:r>
      <w:bookmarkStart w:id="8" w:name="_GoBack"/>
      <w:bookmarkEnd w:id="8"/>
      <w:r w:rsidRPr="00063975">
        <w:rPr>
          <w:b/>
        </w:rPr>
        <w:t xml:space="preserve">e </w:t>
      </w:r>
      <w:r w:rsidRPr="00063975">
        <w:rPr>
          <w:rFonts w:eastAsia="Batang"/>
          <w:b/>
        </w:rPr>
        <w:t>simultaneous transmission/reception of (combined) signals on multiple polarizations.</w:t>
      </w:r>
      <w:r w:rsidRPr="00063975">
        <w:rPr>
          <w:b/>
        </w:rPr>
        <w:fldChar w:fldCharType="end"/>
      </w:r>
    </w:p>
    <w:p w14:paraId="4F1F2A62" w14:textId="77777777" w:rsidR="00063975" w:rsidRDefault="00063975">
      <w:pPr>
        <w:spacing w:after="0"/>
        <w:rPr>
          <w:rFonts w:ascii="Arial" w:hAnsi="Arial"/>
          <w:sz w:val="36"/>
        </w:rPr>
      </w:pPr>
      <w:r>
        <w:br w:type="page"/>
      </w:r>
    </w:p>
    <w:p w14:paraId="446D1D23" w14:textId="1F3BAB16" w:rsidR="00DD1C07" w:rsidRPr="001D00A6" w:rsidRDefault="00DD1C07" w:rsidP="00DD1C07">
      <w:pPr>
        <w:pStyle w:val="Heading1"/>
        <w:ind w:left="567" w:hanging="567"/>
      </w:pPr>
      <w:r w:rsidRPr="001D00A6">
        <w:lastRenderedPageBreak/>
        <w:t>References</w:t>
      </w:r>
    </w:p>
    <w:p w14:paraId="29039B7D" w14:textId="7132D0F1" w:rsidR="004F374D" w:rsidRPr="001D00A6" w:rsidRDefault="004F374D" w:rsidP="004F374D">
      <w:pPr>
        <w:numPr>
          <w:ilvl w:val="0"/>
          <w:numId w:val="5"/>
        </w:numPr>
        <w:tabs>
          <w:tab w:val="left" w:pos="426"/>
        </w:tabs>
        <w:overflowPunct w:val="0"/>
        <w:autoSpaceDE w:val="0"/>
        <w:autoSpaceDN w:val="0"/>
        <w:adjustRightInd w:val="0"/>
        <w:textAlignment w:val="baseline"/>
      </w:pPr>
      <w:bookmarkStart w:id="9" w:name="_Ref521398402"/>
      <w:bookmarkStart w:id="10" w:name="_Ref520225792"/>
      <w:bookmarkStart w:id="11" w:name="_Hlk528392332"/>
      <w:r w:rsidRPr="001D00A6">
        <w:t>TR 38.810, Study on test methods for New Radio</w:t>
      </w:r>
      <w:r w:rsidR="00E642B3" w:rsidRPr="001D00A6">
        <w:t>, V16.</w:t>
      </w:r>
      <w:r w:rsidR="004A1B0B" w:rsidRPr="001D00A6">
        <w:t>1</w:t>
      </w:r>
      <w:r w:rsidRPr="001D00A6">
        <w:t>.0 (2018-</w:t>
      </w:r>
      <w:r w:rsidR="004A1B0B" w:rsidRPr="001D00A6">
        <w:t>12</w:t>
      </w:r>
      <w:r w:rsidRPr="001D00A6">
        <w:t>)</w:t>
      </w:r>
      <w:bookmarkEnd w:id="9"/>
    </w:p>
    <w:p w14:paraId="4586AAC2" w14:textId="7ADA4EF5" w:rsidR="00016A8B" w:rsidRPr="001D00A6" w:rsidRDefault="00016A8B" w:rsidP="00016A8B">
      <w:pPr>
        <w:numPr>
          <w:ilvl w:val="0"/>
          <w:numId w:val="5"/>
        </w:numPr>
        <w:tabs>
          <w:tab w:val="left" w:pos="426"/>
        </w:tabs>
        <w:overflowPunct w:val="0"/>
        <w:autoSpaceDE w:val="0"/>
        <w:autoSpaceDN w:val="0"/>
        <w:adjustRightInd w:val="0"/>
        <w:textAlignment w:val="baseline"/>
      </w:pPr>
      <w:bookmarkStart w:id="12" w:name="_Ref809319"/>
      <w:r w:rsidRPr="001D00A6">
        <w:t>RP-182761, Status report of SI: Study on test methods for New Radio, Intel, CATR, Qualcomm, 3GPP TSG RAN meeting #82, December 2018</w:t>
      </w:r>
      <w:bookmarkEnd w:id="12"/>
    </w:p>
    <w:p w14:paraId="2414002C" w14:textId="7A6581D6" w:rsidR="003E5665" w:rsidRPr="001D00A6" w:rsidRDefault="003E5665" w:rsidP="003E5665">
      <w:pPr>
        <w:numPr>
          <w:ilvl w:val="0"/>
          <w:numId w:val="5"/>
        </w:numPr>
        <w:tabs>
          <w:tab w:val="left" w:pos="426"/>
        </w:tabs>
        <w:overflowPunct w:val="0"/>
        <w:autoSpaceDE w:val="0"/>
        <w:autoSpaceDN w:val="0"/>
        <w:adjustRightInd w:val="0"/>
        <w:textAlignment w:val="baseline"/>
      </w:pPr>
      <w:bookmarkStart w:id="13" w:name="_Ref811300"/>
      <w:r w:rsidRPr="001D00A6">
        <w:t>Test Plan for 2x2 Downlink MIMO and Transmit Diversity Over-the-Air Performance, CTIA, Version 1.2, April 2018</w:t>
      </w:r>
      <w:bookmarkEnd w:id="13"/>
    </w:p>
    <w:p w14:paraId="0A70C0BD" w14:textId="77777777" w:rsidR="00084983" w:rsidRPr="001D00A6" w:rsidRDefault="004F374D" w:rsidP="004F374D">
      <w:pPr>
        <w:numPr>
          <w:ilvl w:val="0"/>
          <w:numId w:val="5"/>
        </w:numPr>
        <w:tabs>
          <w:tab w:val="left" w:pos="426"/>
        </w:tabs>
        <w:overflowPunct w:val="0"/>
        <w:autoSpaceDE w:val="0"/>
        <w:autoSpaceDN w:val="0"/>
        <w:adjustRightInd w:val="0"/>
        <w:textAlignment w:val="baseline"/>
      </w:pPr>
      <w:bookmarkStart w:id="14" w:name="_Ref521612205"/>
      <w:bookmarkEnd w:id="10"/>
      <w:r w:rsidRPr="001D00A6">
        <w:t>TS38.101-2, User Equipment (UE) radio transmission and reception; Part 2: Range 2 Standalone, V15.</w:t>
      </w:r>
      <w:r w:rsidR="00A25AEB" w:rsidRPr="001D00A6">
        <w:t>3</w:t>
      </w:r>
      <w:r w:rsidRPr="001D00A6">
        <w:t>.0 (2018-0</w:t>
      </w:r>
      <w:r w:rsidR="00A25AEB" w:rsidRPr="001D00A6">
        <w:t>9</w:t>
      </w:r>
      <w:r w:rsidRPr="001D00A6">
        <w:t>)</w:t>
      </w:r>
      <w:bookmarkEnd w:id="11"/>
      <w:bookmarkEnd w:id="14"/>
    </w:p>
    <w:sectPr w:rsidR="00084983" w:rsidRPr="001D00A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A0100" w14:textId="77777777" w:rsidR="009B629C" w:rsidRDefault="009B629C">
      <w:r>
        <w:separator/>
      </w:r>
    </w:p>
  </w:endnote>
  <w:endnote w:type="continuationSeparator" w:id="0">
    <w:p w14:paraId="2C606A91" w14:textId="77777777" w:rsidR="009B629C" w:rsidRDefault="009B629C">
      <w:r>
        <w:continuationSeparator/>
      </w:r>
    </w:p>
  </w:endnote>
  <w:endnote w:type="continuationNotice" w:id="1">
    <w:p w14:paraId="33F3FF42" w14:textId="77777777" w:rsidR="009B629C" w:rsidRDefault="009B6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50AD2" w14:textId="77777777" w:rsidR="009B629C" w:rsidRDefault="009B629C">
      <w:r>
        <w:separator/>
      </w:r>
    </w:p>
  </w:footnote>
  <w:footnote w:type="continuationSeparator" w:id="0">
    <w:p w14:paraId="76A7BFB6" w14:textId="77777777" w:rsidR="009B629C" w:rsidRDefault="009B629C">
      <w:r>
        <w:continuationSeparator/>
      </w:r>
    </w:p>
  </w:footnote>
  <w:footnote w:type="continuationNotice" w:id="1">
    <w:p w14:paraId="75A8829A" w14:textId="77777777" w:rsidR="009B629C" w:rsidRDefault="009B62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06B0014"/>
    <w:multiLevelType w:val="hybridMultilevel"/>
    <w:tmpl w:val="12D4A8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
  </w:num>
  <w:num w:numId="6">
    <w:abstractNumId w:val="12"/>
  </w:num>
  <w:num w:numId="7">
    <w:abstractNumId w:val="10"/>
  </w:num>
  <w:num w:numId="8">
    <w:abstractNumId w:val="6"/>
  </w:num>
  <w:num w:numId="9">
    <w:abstractNumId w:val="18"/>
  </w:num>
  <w:num w:numId="10">
    <w:abstractNumId w:val="4"/>
  </w:num>
  <w:num w:numId="11">
    <w:abstractNumId w:val="24"/>
  </w:num>
  <w:num w:numId="12">
    <w:abstractNumId w:val="9"/>
  </w:num>
  <w:num w:numId="13">
    <w:abstractNumId w:val="23"/>
  </w:num>
  <w:num w:numId="14">
    <w:abstractNumId w:val="28"/>
  </w:num>
  <w:num w:numId="15">
    <w:abstractNumId w:val="8"/>
  </w:num>
  <w:num w:numId="16">
    <w:abstractNumId w:val="27"/>
  </w:num>
  <w:num w:numId="17">
    <w:abstractNumId w:val="5"/>
  </w:num>
  <w:num w:numId="18">
    <w:abstractNumId w:val="21"/>
  </w:num>
  <w:num w:numId="19">
    <w:abstractNumId w:val="14"/>
  </w:num>
  <w:num w:numId="20">
    <w:abstractNumId w:val="22"/>
  </w:num>
  <w:num w:numId="21">
    <w:abstractNumId w:val="26"/>
  </w:num>
  <w:num w:numId="22">
    <w:abstractNumId w:val="20"/>
  </w:num>
  <w:num w:numId="23">
    <w:abstractNumId w:val="16"/>
  </w:num>
  <w:num w:numId="24">
    <w:abstractNumId w:val="7"/>
  </w:num>
  <w:num w:numId="25">
    <w:abstractNumId w:val="3"/>
  </w:num>
  <w:num w:numId="26">
    <w:abstractNumId w:val="21"/>
  </w:num>
  <w:num w:numId="27">
    <w:abstractNumId w:val="21"/>
  </w:num>
  <w:num w:numId="28">
    <w:abstractNumId w:val="21"/>
  </w:num>
  <w:num w:numId="29">
    <w:abstractNumId w:val="13"/>
  </w:num>
  <w:num w:numId="30">
    <w:abstractNumId w:val="11"/>
  </w:num>
  <w:num w:numId="31">
    <w:abstractNumId w:val="30"/>
  </w:num>
  <w:num w:numId="32">
    <w:abstractNumId w:val="25"/>
  </w:num>
  <w:num w:numId="33">
    <w:abstractNumId w:val="19"/>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800"/>
    <w:rsid w:val="000078E2"/>
    <w:rsid w:val="00011F6E"/>
    <w:rsid w:val="000136CE"/>
    <w:rsid w:val="00016A8B"/>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509D"/>
    <w:rsid w:val="00055873"/>
    <w:rsid w:val="00056560"/>
    <w:rsid w:val="0005725C"/>
    <w:rsid w:val="000606FD"/>
    <w:rsid w:val="00063975"/>
    <w:rsid w:val="00064500"/>
    <w:rsid w:val="00077333"/>
    <w:rsid w:val="00082566"/>
    <w:rsid w:val="00083540"/>
    <w:rsid w:val="00084983"/>
    <w:rsid w:val="00087F53"/>
    <w:rsid w:val="000906E1"/>
    <w:rsid w:val="00093E7E"/>
    <w:rsid w:val="00096EE4"/>
    <w:rsid w:val="000A12C7"/>
    <w:rsid w:val="000A2A86"/>
    <w:rsid w:val="000A43B4"/>
    <w:rsid w:val="000B25D3"/>
    <w:rsid w:val="000C2440"/>
    <w:rsid w:val="000C3463"/>
    <w:rsid w:val="000C3765"/>
    <w:rsid w:val="000C640F"/>
    <w:rsid w:val="000D39C6"/>
    <w:rsid w:val="000D6B69"/>
    <w:rsid w:val="000D6CFC"/>
    <w:rsid w:val="000D7138"/>
    <w:rsid w:val="000E0AAD"/>
    <w:rsid w:val="000E24A4"/>
    <w:rsid w:val="00114DB9"/>
    <w:rsid w:val="001174D8"/>
    <w:rsid w:val="00121323"/>
    <w:rsid w:val="00122845"/>
    <w:rsid w:val="00124141"/>
    <w:rsid w:val="001258E2"/>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00A6"/>
    <w:rsid w:val="001D7D91"/>
    <w:rsid w:val="001D7F4A"/>
    <w:rsid w:val="001E0888"/>
    <w:rsid w:val="001E1CF6"/>
    <w:rsid w:val="001E4636"/>
    <w:rsid w:val="001E6DC6"/>
    <w:rsid w:val="001F5795"/>
    <w:rsid w:val="001F706B"/>
    <w:rsid w:val="00200996"/>
    <w:rsid w:val="0020314E"/>
    <w:rsid w:val="00204999"/>
    <w:rsid w:val="00204F69"/>
    <w:rsid w:val="00206C1F"/>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6D8E"/>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D1D54"/>
    <w:rsid w:val="003D2C79"/>
    <w:rsid w:val="003D5D10"/>
    <w:rsid w:val="003D7CEB"/>
    <w:rsid w:val="003E300F"/>
    <w:rsid w:val="003E39F0"/>
    <w:rsid w:val="003E3F2D"/>
    <w:rsid w:val="003E5665"/>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4BB"/>
    <w:rsid w:val="00420AD5"/>
    <w:rsid w:val="00426356"/>
    <w:rsid w:val="00427B2E"/>
    <w:rsid w:val="00427B4E"/>
    <w:rsid w:val="00431287"/>
    <w:rsid w:val="00444225"/>
    <w:rsid w:val="0046266D"/>
    <w:rsid w:val="004701D2"/>
    <w:rsid w:val="00470E49"/>
    <w:rsid w:val="00471B36"/>
    <w:rsid w:val="00473D9D"/>
    <w:rsid w:val="00474556"/>
    <w:rsid w:val="00474FBC"/>
    <w:rsid w:val="00476D28"/>
    <w:rsid w:val="00482CB3"/>
    <w:rsid w:val="004835B4"/>
    <w:rsid w:val="00485FCA"/>
    <w:rsid w:val="00490F98"/>
    <w:rsid w:val="00490FAF"/>
    <w:rsid w:val="00491FA6"/>
    <w:rsid w:val="00495A33"/>
    <w:rsid w:val="004A07A1"/>
    <w:rsid w:val="004A17C7"/>
    <w:rsid w:val="004A1B0B"/>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57C77"/>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6179"/>
    <w:rsid w:val="005C239F"/>
    <w:rsid w:val="005C331B"/>
    <w:rsid w:val="005C4593"/>
    <w:rsid w:val="005E12CD"/>
    <w:rsid w:val="005E2985"/>
    <w:rsid w:val="005E5D66"/>
    <w:rsid w:val="005F3B1B"/>
    <w:rsid w:val="00603585"/>
    <w:rsid w:val="00607D98"/>
    <w:rsid w:val="0061059A"/>
    <w:rsid w:val="006126CA"/>
    <w:rsid w:val="006131BB"/>
    <w:rsid w:val="00613B1E"/>
    <w:rsid w:val="00616FB0"/>
    <w:rsid w:val="006210C4"/>
    <w:rsid w:val="00622B32"/>
    <w:rsid w:val="00635671"/>
    <w:rsid w:val="00636ABD"/>
    <w:rsid w:val="00640AAA"/>
    <w:rsid w:val="00645857"/>
    <w:rsid w:val="00651C2B"/>
    <w:rsid w:val="006537BF"/>
    <w:rsid w:val="00653DF0"/>
    <w:rsid w:val="006543EF"/>
    <w:rsid w:val="0065492A"/>
    <w:rsid w:val="00654D11"/>
    <w:rsid w:val="00656A7B"/>
    <w:rsid w:val="00665AD3"/>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737"/>
    <w:rsid w:val="00741775"/>
    <w:rsid w:val="00744CC1"/>
    <w:rsid w:val="0074650E"/>
    <w:rsid w:val="00747AD4"/>
    <w:rsid w:val="00752FA3"/>
    <w:rsid w:val="00770A12"/>
    <w:rsid w:val="00774B17"/>
    <w:rsid w:val="007756A1"/>
    <w:rsid w:val="0078088D"/>
    <w:rsid w:val="00785D03"/>
    <w:rsid w:val="007927CF"/>
    <w:rsid w:val="00797994"/>
    <w:rsid w:val="007A4551"/>
    <w:rsid w:val="007A4F68"/>
    <w:rsid w:val="007A5139"/>
    <w:rsid w:val="007A6059"/>
    <w:rsid w:val="007B03C6"/>
    <w:rsid w:val="007B0584"/>
    <w:rsid w:val="007B5856"/>
    <w:rsid w:val="007C58AE"/>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50F8"/>
    <w:rsid w:val="00845E55"/>
    <w:rsid w:val="008541B3"/>
    <w:rsid w:val="008602F7"/>
    <w:rsid w:val="00861C5F"/>
    <w:rsid w:val="008626D8"/>
    <w:rsid w:val="00864950"/>
    <w:rsid w:val="00870861"/>
    <w:rsid w:val="00877CA2"/>
    <w:rsid w:val="00884BE6"/>
    <w:rsid w:val="0088503C"/>
    <w:rsid w:val="00885D92"/>
    <w:rsid w:val="00892723"/>
    <w:rsid w:val="00893454"/>
    <w:rsid w:val="00895D05"/>
    <w:rsid w:val="00897A25"/>
    <w:rsid w:val="008A0A78"/>
    <w:rsid w:val="008A0C86"/>
    <w:rsid w:val="008A1A84"/>
    <w:rsid w:val="008A6079"/>
    <w:rsid w:val="008A6143"/>
    <w:rsid w:val="008B0529"/>
    <w:rsid w:val="008B5C74"/>
    <w:rsid w:val="008C2308"/>
    <w:rsid w:val="008C60E9"/>
    <w:rsid w:val="008C7836"/>
    <w:rsid w:val="008D7BED"/>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B629C"/>
    <w:rsid w:val="009C0727"/>
    <w:rsid w:val="009C6214"/>
    <w:rsid w:val="009D28E0"/>
    <w:rsid w:val="009D78C2"/>
    <w:rsid w:val="009D7F67"/>
    <w:rsid w:val="009E186C"/>
    <w:rsid w:val="009E3840"/>
    <w:rsid w:val="009E41C5"/>
    <w:rsid w:val="009E448E"/>
    <w:rsid w:val="009E520A"/>
    <w:rsid w:val="009E7AFD"/>
    <w:rsid w:val="009F20D3"/>
    <w:rsid w:val="00A063D0"/>
    <w:rsid w:val="00A079A7"/>
    <w:rsid w:val="00A1477F"/>
    <w:rsid w:val="00A165D9"/>
    <w:rsid w:val="00A17573"/>
    <w:rsid w:val="00A210B9"/>
    <w:rsid w:val="00A22FB6"/>
    <w:rsid w:val="00A2310D"/>
    <w:rsid w:val="00A25AEB"/>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402F"/>
    <w:rsid w:val="00AC6E00"/>
    <w:rsid w:val="00AC6E03"/>
    <w:rsid w:val="00AD17B1"/>
    <w:rsid w:val="00AD4B9B"/>
    <w:rsid w:val="00AD768A"/>
    <w:rsid w:val="00AE116C"/>
    <w:rsid w:val="00AE342A"/>
    <w:rsid w:val="00AE627B"/>
    <w:rsid w:val="00AF3407"/>
    <w:rsid w:val="00AF5AD3"/>
    <w:rsid w:val="00B0589A"/>
    <w:rsid w:val="00B14BC8"/>
    <w:rsid w:val="00B17858"/>
    <w:rsid w:val="00B20C57"/>
    <w:rsid w:val="00B21D87"/>
    <w:rsid w:val="00B22ADA"/>
    <w:rsid w:val="00B22C52"/>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D24"/>
    <w:rsid w:val="00BC577A"/>
    <w:rsid w:val="00BD0905"/>
    <w:rsid w:val="00BD455F"/>
    <w:rsid w:val="00BD707B"/>
    <w:rsid w:val="00BE0187"/>
    <w:rsid w:val="00BE1A05"/>
    <w:rsid w:val="00BE5CA5"/>
    <w:rsid w:val="00BE5CB9"/>
    <w:rsid w:val="00BF5875"/>
    <w:rsid w:val="00C050BC"/>
    <w:rsid w:val="00C050CF"/>
    <w:rsid w:val="00C06487"/>
    <w:rsid w:val="00C065DE"/>
    <w:rsid w:val="00C1494B"/>
    <w:rsid w:val="00C14DE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1548"/>
    <w:rsid w:val="00C93744"/>
    <w:rsid w:val="00C958F3"/>
    <w:rsid w:val="00CA3A27"/>
    <w:rsid w:val="00CA517A"/>
    <w:rsid w:val="00CB0D58"/>
    <w:rsid w:val="00CB29E4"/>
    <w:rsid w:val="00CB4ACF"/>
    <w:rsid w:val="00CB5BF2"/>
    <w:rsid w:val="00CC15A4"/>
    <w:rsid w:val="00CC28A9"/>
    <w:rsid w:val="00CC6580"/>
    <w:rsid w:val="00CC6FE0"/>
    <w:rsid w:val="00CE0386"/>
    <w:rsid w:val="00CF0031"/>
    <w:rsid w:val="00CF0C99"/>
    <w:rsid w:val="00CF46D3"/>
    <w:rsid w:val="00CF61F2"/>
    <w:rsid w:val="00D01854"/>
    <w:rsid w:val="00D076FD"/>
    <w:rsid w:val="00D1118A"/>
    <w:rsid w:val="00D11648"/>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463C"/>
    <w:rsid w:val="00E077C9"/>
    <w:rsid w:val="00E11C02"/>
    <w:rsid w:val="00E15ED1"/>
    <w:rsid w:val="00E21128"/>
    <w:rsid w:val="00E224FC"/>
    <w:rsid w:val="00E31F57"/>
    <w:rsid w:val="00E32C2E"/>
    <w:rsid w:val="00E336C5"/>
    <w:rsid w:val="00E34794"/>
    <w:rsid w:val="00E41279"/>
    <w:rsid w:val="00E502C4"/>
    <w:rsid w:val="00E55ABC"/>
    <w:rsid w:val="00E56168"/>
    <w:rsid w:val="00E57B74"/>
    <w:rsid w:val="00E57FEF"/>
    <w:rsid w:val="00E642B3"/>
    <w:rsid w:val="00E8629F"/>
    <w:rsid w:val="00E90B54"/>
    <w:rsid w:val="00E95392"/>
    <w:rsid w:val="00E96BC6"/>
    <w:rsid w:val="00E97AA9"/>
    <w:rsid w:val="00EA09B1"/>
    <w:rsid w:val="00EA0B7F"/>
    <w:rsid w:val="00EA3C24"/>
    <w:rsid w:val="00EA3D76"/>
    <w:rsid w:val="00EB0292"/>
    <w:rsid w:val="00EC0715"/>
    <w:rsid w:val="00EC496A"/>
    <w:rsid w:val="00EC6A1C"/>
    <w:rsid w:val="00ED5F47"/>
    <w:rsid w:val="00ED7922"/>
    <w:rsid w:val="00EE066A"/>
    <w:rsid w:val="00EE1013"/>
    <w:rsid w:val="00EE2605"/>
    <w:rsid w:val="00EE3A95"/>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7184A"/>
    <w:rsid w:val="00F77EB0"/>
    <w:rsid w:val="00F81AC1"/>
    <w:rsid w:val="00F83415"/>
    <w:rsid w:val="00F91F8F"/>
    <w:rsid w:val="00FA0215"/>
    <w:rsid w:val="00FA35B4"/>
    <w:rsid w:val="00FB2CFC"/>
    <w:rsid w:val="00FB560E"/>
    <w:rsid w:val="00FB69E7"/>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533FB2"/>
  <w15:chartTrackingRefBased/>
  <w15:docId w15:val="{B0B40419-4461-4CC2-B205-7559D8CB3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1">
    <w:name w:val="Unresolved Mention1"/>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56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2.xml><?xml version="1.0" encoding="utf-8"?>
<ds:datastoreItem xmlns:ds="http://schemas.openxmlformats.org/officeDocument/2006/customXml" ds:itemID="{A493DB48-E542-4D55-9B22-CB3DB01C22C3}">
  <ds:schemaRefs>
    <ds:schemaRef ds:uri="bdd78157-346c-4767-bfdd-352789a5c5f1"/>
    <ds:schemaRef ds:uri="http://purl.org/dc/terms/"/>
    <ds:schemaRef ds:uri="http://purl.org/dc/dcmitype/"/>
    <ds:schemaRef ds:uri="http://schemas.microsoft.com/office/infopath/2007/PartnerControls"/>
    <ds:schemaRef ds:uri="http://schemas.microsoft.com/office/2006/documentManagement/types"/>
    <ds:schemaRef ds:uri="878f5c59-aec9-459c-acf8-8cf941473193"/>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579658D-6DEF-4691-8665-FA052E05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C211A-4E8F-4B5B-8B66-EF1396C2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1282</Words>
  <Characters>7968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(1SE4)</dc:creator>
  <cp:keywords/>
  <dc:description/>
  <cp:lastModifiedBy>Thorsten Hertel</cp:lastModifiedBy>
  <cp:revision>7</cp:revision>
  <dcterms:created xsi:type="dcterms:W3CDTF">2019-02-14T18:36:00Z</dcterms:created>
  <dcterms:modified xsi:type="dcterms:W3CDTF">2019-02-15T20:44:00Z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